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0FC4B">
      <w:pPr>
        <w:keepNext w:val="0"/>
        <w:keepLines w:val="0"/>
        <w:pageBreakBefore w:val="0"/>
        <w:kinsoku/>
        <w:wordWrap/>
        <w:overflowPunct/>
        <w:topLinePunct w:val="0"/>
        <w:autoSpaceDE/>
        <w:autoSpaceDN/>
        <w:bidi w:val="0"/>
        <w:spacing w:afterAutospacing="0" w:line="560" w:lineRule="exact"/>
        <w:ind w:right="0" w:rightChars="0"/>
        <w:jc w:val="left"/>
        <w:textAlignment w:val="auto"/>
        <w:outlineLvl w:val="9"/>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附件</w:t>
      </w:r>
      <w:r>
        <w:rPr>
          <w:rFonts w:hint="eastAsia" w:ascii="Times New Roman" w:hAnsi="Times New Roman" w:eastAsia="仿宋_GB2312" w:cs="Times New Roman"/>
          <w:sz w:val="32"/>
          <w:szCs w:val="32"/>
          <w:highlight w:val="none"/>
          <w:lang w:val="en-US" w:eastAsia="zh-CN"/>
        </w:rPr>
        <w:t>1</w:t>
      </w:r>
    </w:p>
    <w:p w14:paraId="34D92333">
      <w:pPr>
        <w:keepNext w:val="0"/>
        <w:keepLines w:val="0"/>
        <w:pageBreakBefore w:val="0"/>
        <w:kinsoku/>
        <w:wordWrap/>
        <w:overflowPunct/>
        <w:topLinePunct w:val="0"/>
        <w:autoSpaceDE/>
        <w:autoSpaceDN/>
        <w:bidi w:val="0"/>
        <w:spacing w:before="0" w:beforeAutospacing="0" w:afterAutospacing="0" w:line="560" w:lineRule="exact"/>
        <w:ind w:left="0" w:leftChars="0" w:right="0" w:rightChars="0" w:firstLine="640"/>
        <w:jc w:val="left"/>
        <w:textAlignment w:val="auto"/>
        <w:outlineLvl w:val="9"/>
        <w:rPr>
          <w:rFonts w:hint="default" w:ascii="Times New Roman" w:hAnsi="Times New Roman" w:eastAsia="仿宋_GB2312" w:cs="Times New Roman"/>
          <w:sz w:val="32"/>
          <w:szCs w:val="32"/>
          <w:highlight w:val="none"/>
        </w:rPr>
      </w:pPr>
    </w:p>
    <w:p w14:paraId="771C5EE4">
      <w:pPr>
        <w:keepNext w:val="0"/>
        <w:keepLines w:val="0"/>
        <w:pageBreakBefore w:val="0"/>
        <w:kinsoku/>
        <w:wordWrap/>
        <w:overflowPunct/>
        <w:topLinePunct w:val="0"/>
        <w:autoSpaceDE/>
        <w:autoSpaceDN/>
        <w:bidi w:val="0"/>
        <w:spacing w:before="0" w:beforeAutospacing="0" w:afterAutospacing="0" w:line="560" w:lineRule="exact"/>
        <w:ind w:left="0" w:leftChars="0" w:right="0" w:rightChars="0" w:firstLine="640"/>
        <w:jc w:val="left"/>
        <w:textAlignment w:val="auto"/>
        <w:outlineLvl w:val="9"/>
        <w:rPr>
          <w:rFonts w:hint="default" w:ascii="Times New Roman" w:hAnsi="Times New Roman" w:eastAsia="仿宋_GB2312" w:cs="Times New Roman"/>
          <w:sz w:val="32"/>
          <w:szCs w:val="32"/>
          <w:highlight w:val="none"/>
        </w:rPr>
      </w:pPr>
    </w:p>
    <w:p w14:paraId="681B13DC">
      <w:pPr>
        <w:keepNext w:val="0"/>
        <w:keepLines w:val="0"/>
        <w:pageBreakBefore w:val="0"/>
        <w:kinsoku/>
        <w:wordWrap/>
        <w:overflowPunct/>
        <w:topLinePunct w:val="0"/>
        <w:autoSpaceDE/>
        <w:autoSpaceDN/>
        <w:bidi w:val="0"/>
        <w:spacing w:before="0" w:beforeAutospacing="0" w:afterAutospacing="0" w:line="560" w:lineRule="exact"/>
        <w:ind w:left="0" w:leftChars="0" w:right="0" w:rightChars="0" w:firstLine="640"/>
        <w:jc w:val="left"/>
        <w:textAlignment w:val="auto"/>
        <w:outlineLvl w:val="9"/>
        <w:rPr>
          <w:rFonts w:hint="default" w:ascii="Times New Roman" w:hAnsi="Times New Roman" w:eastAsia="仿宋_GB2312" w:cs="Times New Roman"/>
          <w:sz w:val="32"/>
          <w:szCs w:val="32"/>
          <w:highlight w:val="none"/>
        </w:rPr>
      </w:pPr>
    </w:p>
    <w:p w14:paraId="32D3B241">
      <w:pPr>
        <w:keepNext w:val="0"/>
        <w:keepLines w:val="0"/>
        <w:pageBreakBefore w:val="0"/>
        <w:kinsoku/>
        <w:wordWrap/>
        <w:overflowPunct/>
        <w:topLinePunct w:val="0"/>
        <w:autoSpaceDE/>
        <w:autoSpaceDN/>
        <w:bidi w:val="0"/>
        <w:spacing w:before="0" w:beforeAutospacing="0" w:afterAutospacing="0" w:line="560" w:lineRule="exact"/>
        <w:ind w:left="0" w:leftChars="0" w:right="0" w:rightChars="0" w:firstLine="640"/>
        <w:jc w:val="left"/>
        <w:textAlignment w:val="auto"/>
        <w:outlineLvl w:val="9"/>
        <w:rPr>
          <w:rFonts w:hint="default" w:ascii="Times New Roman" w:hAnsi="Times New Roman" w:eastAsia="仿宋_GB2312" w:cs="Times New Roman"/>
          <w:sz w:val="32"/>
          <w:szCs w:val="32"/>
          <w:highlight w:val="none"/>
        </w:rPr>
      </w:pPr>
    </w:p>
    <w:p w14:paraId="3821AC40">
      <w:pPr>
        <w:keepNext w:val="0"/>
        <w:keepLines w:val="0"/>
        <w:pageBreakBefore w:val="0"/>
        <w:kinsoku/>
        <w:wordWrap/>
        <w:overflowPunct/>
        <w:topLinePunct w:val="0"/>
        <w:autoSpaceDE/>
        <w:autoSpaceDN/>
        <w:bidi w:val="0"/>
        <w:spacing w:before="0" w:beforeAutospacing="0" w:afterAutospacing="0" w:line="560" w:lineRule="exact"/>
        <w:ind w:left="0" w:leftChars="0" w:right="0" w:rightChars="0" w:firstLine="640"/>
        <w:jc w:val="left"/>
        <w:textAlignment w:val="auto"/>
        <w:outlineLvl w:val="9"/>
        <w:rPr>
          <w:rFonts w:hint="default" w:ascii="Times New Roman" w:hAnsi="Times New Roman" w:eastAsia="仿宋_GB2312" w:cs="Times New Roman"/>
          <w:sz w:val="32"/>
          <w:szCs w:val="32"/>
          <w:highlight w:val="none"/>
        </w:rPr>
      </w:pPr>
    </w:p>
    <w:p w14:paraId="42265D2F">
      <w:pPr>
        <w:keepNext w:val="0"/>
        <w:keepLines w:val="0"/>
        <w:pageBreakBefore w:val="0"/>
        <w:widowControl w:val="0"/>
        <w:kinsoku/>
        <w:wordWrap/>
        <w:overflowPunct/>
        <w:topLinePunct w:val="0"/>
        <w:autoSpaceDE/>
        <w:autoSpaceDN/>
        <w:bidi w:val="0"/>
        <w:adjustRightInd/>
        <w:snapToGrid/>
        <w:spacing w:before="103" w:beforeLines="30" w:beforeAutospacing="0" w:after="170" w:afterAutospacing="0" w:line="900" w:lineRule="exact"/>
        <w:ind w:left="0" w:leftChars="0" w:right="0" w:rightChars="0" w:firstLine="641"/>
        <w:jc w:val="left"/>
        <w:textAlignment w:val="auto"/>
        <w:outlineLvl w:val="9"/>
        <w:rPr>
          <w:rFonts w:hint="default" w:ascii="Times New Roman" w:hAnsi="Times New Roman" w:eastAsia="仿宋_GB2312" w:cs="Times New Roman"/>
          <w:sz w:val="32"/>
          <w:szCs w:val="32"/>
          <w:highlight w:val="none"/>
        </w:rPr>
      </w:pPr>
    </w:p>
    <w:p w14:paraId="5ECC8203">
      <w:pPr>
        <w:keepNext w:val="0"/>
        <w:keepLines w:val="0"/>
        <w:pageBreakBefore w:val="0"/>
        <w:widowControl w:val="0"/>
        <w:kinsoku/>
        <w:wordWrap/>
        <w:overflowPunct/>
        <w:topLinePunct w:val="0"/>
        <w:autoSpaceDE/>
        <w:autoSpaceDN/>
        <w:bidi w:val="0"/>
        <w:adjustRightInd/>
        <w:snapToGrid/>
        <w:spacing w:beforeAutospacing="0" w:line="470" w:lineRule="exact"/>
        <w:ind w:firstLine="325" w:firstLineChars="100"/>
        <w:jc w:val="both"/>
        <w:textAlignment w:val="auto"/>
        <w:outlineLvl w:val="9"/>
        <w:rPr>
          <w:rFonts w:hint="default" w:ascii="Times New Roman" w:hAnsi="Times New Roman" w:eastAsia="仿宋_GB2312" w:cs="Times New Roman"/>
          <w:color w:val="000000"/>
          <w:sz w:val="32"/>
          <w:szCs w:val="32"/>
          <w:highlight w:val="none"/>
          <w:lang w:val="en-US"/>
        </w:rPr>
      </w:pPr>
      <w:r>
        <w:rPr>
          <w:rFonts w:hint="default" w:ascii="Times New Roman" w:hAnsi="Times New Roman" w:eastAsia="仿宋_GB2312" w:cs="Times New Roman"/>
          <w:color w:val="000000"/>
          <w:sz w:val="32"/>
          <w:szCs w:val="32"/>
          <w:highlight w:val="none"/>
        </w:rPr>
        <w:t>大</w:t>
      </w:r>
      <w:r>
        <w:rPr>
          <w:rFonts w:hint="default" w:ascii="Times New Roman" w:hAnsi="Times New Roman" w:eastAsia="仿宋_GB2312" w:cs="Times New Roman"/>
          <w:color w:val="000000"/>
          <w:sz w:val="32"/>
          <w:szCs w:val="32"/>
          <w:highlight w:val="none"/>
          <w:lang w:eastAsia="zh-CN"/>
        </w:rPr>
        <w:t>商务经合</w:t>
      </w:r>
      <w:r>
        <w:rPr>
          <w:rFonts w:hint="default" w:ascii="Times New Roman" w:hAnsi="Times New Roman" w:eastAsia="仿宋_GB2312" w:cs="Times New Roman"/>
          <w:color w:val="000000"/>
          <w:sz w:val="32"/>
          <w:szCs w:val="32"/>
          <w:highlight w:val="none"/>
        </w:rPr>
        <w:t>〔</w:t>
      </w:r>
      <w:r>
        <w:rPr>
          <w:rFonts w:hint="eastAsia" w:ascii="Times New Roman" w:hAnsi="Times New Roman" w:eastAsia="仿宋_GB2312" w:cs="Times New Roman"/>
          <w:color w:val="000000"/>
          <w:sz w:val="32"/>
          <w:szCs w:val="32"/>
          <w:highlight w:val="none"/>
          <w:lang w:eastAsia="zh-CN"/>
        </w:rPr>
        <w:t>2024</w:t>
      </w:r>
      <w:r>
        <w:rPr>
          <w:rFonts w:hint="default" w:ascii="Times New Roman" w:hAnsi="Times New Roman" w:eastAsia="仿宋_GB2312" w:cs="Times New Roman"/>
          <w:color w:val="000000"/>
          <w:sz w:val="32"/>
          <w:szCs w:val="32"/>
          <w:highlight w:val="none"/>
        </w:rPr>
        <w:t>〕</w:t>
      </w:r>
      <w:r>
        <w:rPr>
          <w:rFonts w:hint="eastAsia" w:ascii="Times New Roman" w:hAnsi="Times New Roman" w:eastAsia="仿宋_GB2312" w:cs="Times New Roman"/>
          <w:color w:val="000000"/>
          <w:sz w:val="32"/>
          <w:szCs w:val="32"/>
          <w:highlight w:val="none"/>
          <w:lang w:val="en-US" w:eastAsia="zh-CN"/>
        </w:rPr>
        <w:t>22</w:t>
      </w:r>
      <w:r>
        <w:rPr>
          <w:rFonts w:hint="default" w:ascii="Times New Roman" w:hAnsi="Times New Roman" w:eastAsia="仿宋_GB2312" w:cs="Times New Roman"/>
          <w:color w:val="000000"/>
          <w:sz w:val="32"/>
          <w:szCs w:val="32"/>
          <w:highlight w:val="none"/>
        </w:rPr>
        <w:t>号</w:t>
      </w:r>
      <w:r>
        <w:rPr>
          <w:rFonts w:hint="default" w:ascii="Times New Roman" w:hAnsi="Times New Roman" w:eastAsia="仿宋_GB2312" w:cs="Times New Roman"/>
          <w:color w:val="000000"/>
          <w:sz w:val="32"/>
          <w:szCs w:val="32"/>
          <w:highlight w:val="none"/>
          <w:lang w:val="en-US" w:eastAsia="zh-CN"/>
        </w:rPr>
        <w:t xml:space="preserve">    </w:t>
      </w:r>
      <w:r>
        <w:rPr>
          <w:rFonts w:hint="default" w:ascii="Times New Roman" w:hAnsi="Times New Roman" w:eastAsia="仿宋_GB2312" w:cs="Times New Roman"/>
          <w:color w:val="000000"/>
          <w:sz w:val="10"/>
          <w:szCs w:val="10"/>
          <w:highlight w:val="none"/>
          <w:lang w:val="en-US" w:eastAsia="zh-CN"/>
        </w:rPr>
        <w:t xml:space="preserve">                             </w:t>
      </w:r>
      <w:r>
        <w:rPr>
          <w:rFonts w:hint="default" w:ascii="Times New Roman" w:hAnsi="Times New Roman" w:eastAsia="仿宋_GB2312" w:cs="Times New Roman"/>
          <w:color w:val="000000"/>
          <w:sz w:val="32"/>
          <w:szCs w:val="32"/>
          <w:highlight w:val="none"/>
        </w:rPr>
        <w:t>签发人</w:t>
      </w:r>
      <w:r>
        <w:rPr>
          <w:rFonts w:hint="default" w:ascii="Times New Roman" w:hAnsi="Times New Roman" w:eastAsia="楷体_GB2312" w:cs="Times New Roman"/>
          <w:color w:val="000000"/>
          <w:sz w:val="32"/>
          <w:szCs w:val="32"/>
          <w:highlight w:val="none"/>
        </w:rPr>
        <w:t>：</w:t>
      </w:r>
      <w:r>
        <w:rPr>
          <w:rFonts w:hint="default" w:ascii="Times New Roman" w:hAnsi="Times New Roman" w:eastAsia="楷体_GB2312" w:cs="Times New Roman"/>
          <w:bCs/>
          <w:color w:val="000000"/>
          <w:sz w:val="32"/>
          <w:szCs w:val="32"/>
          <w:highlight w:val="none"/>
          <w:lang w:val="en-US" w:eastAsia="zh-CN"/>
        </w:rPr>
        <w:t xml:space="preserve">蒋  伟  </w:t>
      </w:r>
    </w:p>
    <w:p w14:paraId="20858DCF">
      <w:pPr>
        <w:keepNext w:val="0"/>
        <w:keepLines w:val="0"/>
        <w:pageBreakBefore w:val="0"/>
        <w:widowControl w:val="0"/>
        <w:tabs>
          <w:tab w:val="left" w:pos="220"/>
          <w:tab w:val="left" w:pos="8600"/>
        </w:tabs>
        <w:kinsoku/>
        <w:wordWrap/>
        <w:overflowPunct/>
        <w:topLinePunct w:val="0"/>
        <w:autoSpaceDE/>
        <w:autoSpaceDN/>
        <w:bidi w:val="0"/>
        <w:adjustRightInd/>
        <w:snapToGrid/>
        <w:spacing w:line="590" w:lineRule="exact"/>
        <w:ind w:right="0" w:rightChars="0"/>
        <w:jc w:val="center"/>
        <w:textAlignment w:val="auto"/>
        <w:rPr>
          <w:rFonts w:hint="default" w:ascii="Times New Roman" w:hAnsi="Times New Roman" w:eastAsia="新宋体" w:cs="Times New Roman"/>
          <w:b/>
          <w:color w:val="000000"/>
          <w:sz w:val="44"/>
          <w:szCs w:val="44"/>
          <w:highlight w:val="none"/>
        </w:rPr>
      </w:pPr>
    </w:p>
    <w:p w14:paraId="123FBA01">
      <w:pPr>
        <w:keepNext w:val="0"/>
        <w:keepLines w:val="0"/>
        <w:pageBreakBefore w:val="0"/>
        <w:widowControl w:val="0"/>
        <w:kinsoku/>
        <w:wordWrap/>
        <w:overflowPunct/>
        <w:topLinePunct w:val="0"/>
        <w:autoSpaceDE/>
        <w:autoSpaceDN/>
        <w:bidi w:val="0"/>
        <w:adjustRightInd/>
        <w:snapToGrid/>
        <w:spacing w:before="171" w:beforeLines="50" w:line="590" w:lineRule="exact"/>
        <w:ind w:right="0" w:rightChars="0"/>
        <w:jc w:val="center"/>
        <w:textAlignment w:val="auto"/>
        <w:outlineLvl w:val="9"/>
        <w:rPr>
          <w:rFonts w:hint="default" w:ascii="Times New Roman" w:hAnsi="Times New Roman" w:eastAsia="新宋体" w:cs="Times New Roman"/>
          <w:b/>
          <w:color w:val="000000"/>
          <w:sz w:val="44"/>
          <w:szCs w:val="44"/>
          <w:highlight w:val="none"/>
        </w:rPr>
      </w:pPr>
    </w:p>
    <w:p w14:paraId="77CB0CE9">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方正小标宋简体" w:cs="Times New Roman"/>
          <w:b w:val="0"/>
          <w:bCs w:val="0"/>
          <w:spacing w:val="-4"/>
          <w:sz w:val="44"/>
          <w:szCs w:val="44"/>
          <w:highlight w:val="none"/>
          <w:lang w:val="en-US" w:eastAsia="zh-CN"/>
        </w:rPr>
      </w:pPr>
      <w:r>
        <w:rPr>
          <w:rFonts w:hint="default" w:ascii="Times New Roman" w:hAnsi="Times New Roman" w:eastAsia="方正小标宋简体" w:cs="Times New Roman"/>
          <w:b w:val="0"/>
          <w:bCs w:val="0"/>
          <w:sz w:val="44"/>
          <w:szCs w:val="44"/>
          <w:highlight w:val="none"/>
          <w:lang w:val="en-US" w:eastAsia="zh-CN"/>
        </w:rPr>
        <w:t>大英</w:t>
      </w:r>
      <w:r>
        <w:rPr>
          <w:rFonts w:hint="default" w:ascii="Times New Roman" w:hAnsi="Times New Roman" w:eastAsia="方正小标宋简体" w:cs="Times New Roman"/>
          <w:b w:val="0"/>
          <w:bCs w:val="0"/>
          <w:spacing w:val="-4"/>
          <w:sz w:val="44"/>
          <w:szCs w:val="44"/>
          <w:highlight w:val="none"/>
          <w:lang w:val="en-US" w:eastAsia="zh-CN"/>
        </w:rPr>
        <w:t>县商务和经济合作局</w:t>
      </w:r>
    </w:p>
    <w:p w14:paraId="6D87174F">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方正小标宋简体" w:cs="Times New Roman"/>
          <w:b w:val="0"/>
          <w:bCs w:val="0"/>
          <w:spacing w:val="-4"/>
          <w:sz w:val="44"/>
          <w:szCs w:val="44"/>
          <w:highlight w:val="none"/>
          <w:lang w:val="en-US" w:eastAsia="zh-CN"/>
        </w:rPr>
      </w:pPr>
      <w:r>
        <w:rPr>
          <w:rFonts w:hint="default" w:ascii="Times New Roman" w:hAnsi="Times New Roman" w:eastAsia="方正小标宋简体" w:cs="Times New Roman"/>
          <w:b w:val="0"/>
          <w:bCs w:val="0"/>
          <w:spacing w:val="-4"/>
          <w:sz w:val="44"/>
          <w:szCs w:val="44"/>
          <w:highlight w:val="none"/>
          <w:lang w:val="en-US" w:eastAsia="zh-CN"/>
        </w:rPr>
        <w:t>关于2023年部门整体支出绩效的报告</w:t>
      </w:r>
    </w:p>
    <w:p w14:paraId="39981D0E">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default" w:ascii="Times New Roman" w:hAnsi="Times New Roman" w:eastAsia="仿宋_GB2312" w:cs="Times New Roman"/>
          <w:spacing w:val="-4"/>
          <w:sz w:val="32"/>
          <w:szCs w:val="32"/>
          <w:highlight w:val="none"/>
          <w:lang w:eastAsia="zh-CN"/>
        </w:rPr>
      </w:pPr>
    </w:p>
    <w:p w14:paraId="384206F6">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Times New Roman" w:hAnsi="Times New Roman" w:eastAsia="仿宋_GB2312" w:cs="仿宋_GB2312"/>
          <w:color w:val="auto"/>
          <w:spacing w:val="-4"/>
          <w:sz w:val="32"/>
          <w:szCs w:val="32"/>
          <w:highlight w:val="none"/>
          <w:lang w:val="en-US" w:eastAsia="zh-CN"/>
        </w:rPr>
      </w:pPr>
      <w:r>
        <w:rPr>
          <w:rFonts w:hint="eastAsia" w:ascii="Times New Roman" w:hAnsi="Times New Roman" w:eastAsia="仿宋_GB2312" w:cs="仿宋_GB2312"/>
          <w:color w:val="auto"/>
          <w:spacing w:val="-4"/>
          <w:sz w:val="32"/>
          <w:szCs w:val="32"/>
          <w:highlight w:val="none"/>
          <w:lang w:val="en-US" w:eastAsia="zh-CN"/>
        </w:rPr>
        <w:t>县财政局：</w:t>
      </w:r>
    </w:p>
    <w:p w14:paraId="25752C33">
      <w:pPr>
        <w:pStyle w:val="23"/>
        <w:keepNext w:val="0"/>
        <w:keepLines w:val="0"/>
        <w:pageBreakBefore w:val="0"/>
        <w:widowControl w:val="0"/>
        <w:kinsoku/>
        <w:wordWrap/>
        <w:overflowPunct/>
        <w:topLinePunct w:val="0"/>
        <w:autoSpaceDE/>
        <w:autoSpaceDN/>
        <w:bidi w:val="0"/>
        <w:adjustRightInd w:val="0"/>
        <w:snapToGrid w:val="0"/>
        <w:spacing w:line="590" w:lineRule="exact"/>
        <w:ind w:left="0" w:leftChars="0" w:right="0" w:firstLine="634" w:firstLineChars="200"/>
        <w:jc w:val="both"/>
        <w:rPr>
          <w:rFonts w:hint="default" w:ascii="Times New Roman" w:hAnsi="Times New Roman" w:eastAsia="仿宋_GB2312" w:cs="Times New Roman"/>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pacing w:val="-4"/>
          <w:sz w:val="32"/>
          <w:szCs w:val="32"/>
          <w14:textFill>
            <w14:solidFill>
              <w14:schemeClr w14:val="tx1"/>
            </w14:solidFill>
          </w14:textFill>
        </w:rPr>
        <w:t>根据《大英县财政</w:t>
      </w:r>
      <w:r>
        <w:rPr>
          <w:rFonts w:hint="eastAsia" w:ascii="Times New Roman" w:hAnsi="Times New Roman" w:eastAsia="仿宋_GB2312" w:cs="仿宋_GB2312"/>
          <w:color w:val="000000" w:themeColor="text1"/>
          <w:spacing w:val="-4"/>
          <w:sz w:val="32"/>
          <w:szCs w:val="32"/>
          <w:highlight w:val="none"/>
          <w14:textFill>
            <w14:solidFill>
              <w14:schemeClr w14:val="tx1"/>
            </w14:solidFill>
          </w14:textFill>
        </w:rPr>
        <w:t>局关于开展202</w:t>
      </w:r>
      <w:r>
        <w:rPr>
          <w:rFonts w:hint="eastAsia" w:ascii="Times New Roman" w:hAnsi="Times New Roman" w:eastAsia="仿宋_GB2312" w:cs="仿宋_GB2312"/>
          <w:color w:val="000000" w:themeColor="text1"/>
          <w:spacing w:val="-4"/>
          <w:sz w:val="32"/>
          <w:szCs w:val="32"/>
          <w:highlight w:val="none"/>
          <w:lang w:val="en-US" w:eastAsia="zh-CN"/>
          <w14:textFill>
            <w14:solidFill>
              <w14:schemeClr w14:val="tx1"/>
            </w14:solidFill>
          </w14:textFill>
        </w:rPr>
        <w:t>4年</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度部门、项目、政策支出绩效自评工作的通</w:t>
      </w:r>
      <w:r>
        <w:rPr>
          <w:rFonts w:hint="eastAsia" w:ascii="Times New Roman" w:hAnsi="Times New Roman" w:eastAsia="仿宋_GB2312" w:cs="仿宋_GB2312"/>
          <w:color w:val="000000" w:themeColor="text1"/>
          <w:spacing w:val="-4"/>
          <w:sz w:val="32"/>
          <w:szCs w:val="32"/>
          <w14:textFill>
            <w14:solidFill>
              <w14:schemeClr w14:val="tx1"/>
            </w14:solidFill>
          </w14:textFill>
        </w:rPr>
        <w:t>知》（大财发〔202</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4</w:t>
      </w:r>
      <w:r>
        <w:rPr>
          <w:rFonts w:hint="eastAsia" w:ascii="Times New Roman" w:hAnsi="Times New Roman" w:eastAsia="仿宋_GB2312" w:cs="仿宋_GB2312"/>
          <w:color w:val="000000" w:themeColor="text1"/>
          <w:spacing w:val="-4"/>
          <w:sz w:val="32"/>
          <w:szCs w:val="32"/>
          <w14:textFill>
            <w14:solidFill>
              <w14:schemeClr w14:val="tx1"/>
            </w14:solidFill>
          </w14:textFill>
        </w:rPr>
        <w:t>〕</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87</w:t>
      </w:r>
      <w:r>
        <w:rPr>
          <w:rFonts w:hint="eastAsia" w:ascii="Times New Roman" w:hAnsi="Times New Roman" w:eastAsia="仿宋_GB2312" w:cs="仿宋_GB2312"/>
          <w:color w:val="000000" w:themeColor="text1"/>
          <w:spacing w:val="-4"/>
          <w:sz w:val="32"/>
          <w:szCs w:val="32"/>
          <w14:textFill>
            <w14:solidFill>
              <w14:schemeClr w14:val="tx1"/>
            </w14:solidFill>
          </w14:textFill>
        </w:rPr>
        <w:t>号）文件要求，我局立即落实</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专人</w:t>
      </w:r>
      <w:r>
        <w:rPr>
          <w:rFonts w:hint="eastAsia" w:ascii="Times New Roman" w:hAnsi="Times New Roman" w:eastAsia="仿宋_GB2312" w:cs="仿宋_GB2312"/>
          <w:color w:val="000000" w:themeColor="text1"/>
          <w:spacing w:val="-4"/>
          <w:sz w:val="32"/>
          <w:szCs w:val="32"/>
          <w14:textFill>
            <w14:solidFill>
              <w14:schemeClr w14:val="tx1"/>
            </w14:solidFill>
          </w14:textFill>
        </w:rPr>
        <w:t>开展此项工作</w:t>
      </w:r>
      <w:r>
        <w:rPr>
          <w:rFonts w:hint="eastAsia" w:ascii="Times New Roman" w:hAnsi="Times New Roman" w:eastAsia="仿宋_GB2312" w:cs="仿宋_GB2312"/>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pacing w:val="-4"/>
          <w:sz w:val="32"/>
          <w:szCs w:val="32"/>
          <w14:textFill>
            <w14:solidFill>
              <w14:schemeClr w14:val="tx1"/>
            </w14:solidFill>
          </w14:textFill>
        </w:rPr>
        <w:t>现将我局20</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23</w:t>
      </w:r>
      <w:r>
        <w:rPr>
          <w:rFonts w:hint="eastAsia" w:ascii="Times New Roman" w:hAnsi="Times New Roman" w:eastAsia="仿宋_GB2312" w:cs="仿宋_GB2312"/>
          <w:color w:val="000000" w:themeColor="text1"/>
          <w:spacing w:val="-4"/>
          <w:sz w:val="32"/>
          <w:szCs w:val="32"/>
          <w14:textFill>
            <w14:solidFill>
              <w14:schemeClr w14:val="tx1"/>
            </w14:solidFill>
          </w14:textFill>
        </w:rPr>
        <w:t>年度整体支出绩效</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的</w:t>
      </w:r>
      <w:r>
        <w:rPr>
          <w:rFonts w:hint="eastAsia" w:ascii="Times New Roman" w:hAnsi="Times New Roman" w:eastAsia="仿宋_GB2312" w:cs="仿宋_GB2312"/>
          <w:color w:val="000000" w:themeColor="text1"/>
          <w:spacing w:val="-4"/>
          <w:sz w:val="32"/>
          <w:szCs w:val="32"/>
          <w14:textFill>
            <w14:solidFill>
              <w14:schemeClr w14:val="tx1"/>
            </w14:solidFill>
          </w14:textFill>
        </w:rPr>
        <w:t>情况报告如下。</w:t>
      </w:r>
    </w:p>
    <w:p w14:paraId="019042FD">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黑体" w:cs="Times New Roman"/>
          <w:color w:val="000000" w:themeColor="text1"/>
          <w:spacing w:val="-4"/>
          <w:kern w:val="0"/>
          <w:sz w:val="32"/>
          <w:szCs w:val="32"/>
          <w:shd w:val="clear" w:color="auto" w:fill="FFFFFF"/>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32"/>
          <w:szCs w:val="32"/>
          <w:shd w:val="clear" w:color="auto" w:fill="FFFFFF"/>
          <w14:textFill>
            <w14:solidFill>
              <w14:schemeClr w14:val="tx1"/>
            </w14:solidFill>
          </w14:textFill>
        </w:rPr>
        <w:t>一、</w:t>
      </w:r>
      <w:r>
        <w:rPr>
          <w:rFonts w:hint="default" w:ascii="Times New Roman" w:hAnsi="Times New Roman" w:eastAsia="黑体" w:cs="Times New Roman"/>
          <w:color w:val="000000" w:themeColor="text1"/>
          <w:spacing w:val="-4"/>
          <w:kern w:val="0"/>
          <w:sz w:val="32"/>
          <w:szCs w:val="32"/>
          <w:shd w:val="clear" w:color="auto" w:fill="FFFFFF"/>
          <w:lang w:val="zh-CN"/>
          <w14:textFill>
            <w14:solidFill>
              <w14:schemeClr w14:val="tx1"/>
            </w14:solidFill>
          </w14:textFill>
        </w:rPr>
        <w:t>部门（单位）概况</w:t>
      </w:r>
    </w:p>
    <w:p w14:paraId="6AAB8CF4">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（一）机构组成</w:t>
      </w:r>
    </w:p>
    <w:p w14:paraId="45B23E83">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zh-CN" w:eastAsia="zh-CN"/>
        </w:rPr>
      </w:pPr>
      <w:r>
        <w:rPr>
          <w:rFonts w:hint="default" w:ascii="Times New Roman" w:hAnsi="Times New Roman" w:eastAsia="仿宋_GB2312" w:cs="仿宋_GB2312"/>
          <w:color w:val="auto"/>
          <w:spacing w:val="-4"/>
          <w:sz w:val="32"/>
          <w:szCs w:val="32"/>
          <w:highlight w:val="none"/>
          <w:lang w:val="en-US" w:eastAsia="zh-CN"/>
        </w:rPr>
        <w:t>县商务经合局属一级预算单位，截</w:t>
      </w:r>
      <w:r>
        <w:rPr>
          <w:rFonts w:hint="eastAsia" w:ascii="Times New Roman" w:hAnsi="Times New Roman" w:eastAsia="仿宋_GB2312" w:cs="仿宋_GB2312"/>
          <w:color w:val="auto"/>
          <w:spacing w:val="-4"/>
          <w:sz w:val="32"/>
          <w:szCs w:val="32"/>
          <w:highlight w:val="none"/>
          <w:lang w:val="en-US" w:eastAsia="zh-CN"/>
        </w:rPr>
        <w:t>至</w:t>
      </w:r>
      <w:r>
        <w:rPr>
          <w:rFonts w:hint="default" w:ascii="Times New Roman" w:hAnsi="Times New Roman" w:eastAsia="仿宋_GB2312" w:cs="仿宋_GB2312"/>
          <w:color w:val="auto"/>
          <w:spacing w:val="-4"/>
          <w:sz w:val="32"/>
          <w:szCs w:val="32"/>
          <w:highlight w:val="none"/>
          <w:lang w:val="en-US" w:eastAsia="zh-CN"/>
        </w:rPr>
        <w:t>目前我局下属事业单位2个：</w:t>
      </w:r>
      <w:r>
        <w:rPr>
          <w:rFonts w:hint="eastAsia" w:ascii="Times New Roman" w:hAnsi="Times New Roman" w:eastAsia="仿宋_GB2312" w:cs="仿宋_GB2312"/>
          <w:color w:val="auto"/>
          <w:spacing w:val="-4"/>
          <w:sz w:val="32"/>
          <w:szCs w:val="32"/>
          <w:highlight w:val="none"/>
          <w:lang w:val="en-US" w:eastAsia="zh-CN"/>
        </w:rPr>
        <w:t>大英县</w:t>
      </w:r>
      <w:r>
        <w:rPr>
          <w:rFonts w:hint="default" w:ascii="Times New Roman" w:hAnsi="Times New Roman" w:eastAsia="仿宋_GB2312" w:cs="仿宋_GB2312"/>
          <w:color w:val="auto"/>
          <w:spacing w:val="-4"/>
          <w:sz w:val="32"/>
          <w:szCs w:val="32"/>
          <w:highlight w:val="none"/>
          <w:lang w:val="en-US" w:eastAsia="zh-CN"/>
        </w:rPr>
        <w:t>商务经济信息中心、大英县产业促进中心。大英县商务和经济合作局于2019年2月25日挂牌成立，内设机构“一室三股”：办公室、项目管理股、经济合作股、流通产业发展股（市场体系股）。</w:t>
      </w:r>
    </w:p>
    <w:p w14:paraId="2B36CEA8">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0"/>
          <w:sz w:val="32"/>
          <w:szCs w:val="32"/>
          <w:shd w:val="clear" w:color="auto" w:fill="FFFFFF"/>
          <w:lang w:val="en-US" w:eastAsia="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w:t>
      </w:r>
      <w:r>
        <w:rPr>
          <w:rFonts w:hint="default" w:ascii="Times New Roman" w:hAnsi="Times New Roman" w:eastAsia="楷体_GB2312" w:cs="Times New Roman"/>
          <w:b/>
          <w:bCs/>
          <w:color w:val="000000" w:themeColor="text1"/>
          <w:spacing w:val="-4"/>
          <w:kern w:val="0"/>
          <w:sz w:val="32"/>
          <w:szCs w:val="32"/>
          <w:shd w:val="clear" w:color="auto" w:fill="FFFFFF"/>
          <w:lang w:val="en-US" w:eastAsia="zh-CN"/>
          <w14:textFill>
            <w14:solidFill>
              <w14:schemeClr w14:val="tx1"/>
            </w14:solidFill>
          </w14:textFill>
        </w:rPr>
        <w:t>二</w:t>
      </w: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）机构职能</w:t>
      </w:r>
    </w:p>
    <w:p w14:paraId="5A092282">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w:t>
      </w:r>
      <w:r>
        <w:rPr>
          <w:rFonts w:hint="default" w:ascii="Times New Roman" w:hAnsi="Times New Roman" w:eastAsia="仿宋_GB2312" w:cs="仿宋_GB2312"/>
          <w:color w:val="auto"/>
          <w:spacing w:val="-4"/>
          <w:sz w:val="32"/>
          <w:szCs w:val="32"/>
          <w:highlight w:val="none"/>
          <w:lang w:val="en-US" w:eastAsia="zh-CN"/>
        </w:rPr>
        <w:t>负责推进投资促进有关领域的经济合作（以下简称“经济合作”）。拟订并组织实施全县经济合作的政策规定、中长期规划和年度计划。</w:t>
      </w:r>
    </w:p>
    <w:p w14:paraId="288FB086">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2.</w:t>
      </w:r>
      <w:r>
        <w:rPr>
          <w:rFonts w:hint="default" w:ascii="Times New Roman" w:hAnsi="Times New Roman" w:eastAsia="仿宋_GB2312" w:cs="仿宋_GB2312"/>
          <w:color w:val="auto"/>
          <w:spacing w:val="-4"/>
          <w:sz w:val="32"/>
          <w:szCs w:val="32"/>
          <w:highlight w:val="none"/>
          <w:lang w:val="en-US" w:eastAsia="zh-CN"/>
        </w:rPr>
        <w:t>统筹指导全县投资促进工作。拟订并组织实施全县投资促进政策、中长期规划和年度计划。负责全县投资环境推介工作。统筹组织县级重大投资促进活动。牵头全县重大招商引资项目的促进和落实。组织和参与全县重点产业、重大项目的策划、包装、储备、推介、洽谈和服务工作。负责投资者的信访、投诉接待工作，协调镇乡、园区和县直相关部门做好项目后续跟踪及服务工作。推进投资促进和管理服务网络体系建设。负责全县投资促进工作的信息搜集和对外宣传工作，建立和完善投资促进信息网络。</w:t>
      </w:r>
    </w:p>
    <w:p w14:paraId="46CAD9E5">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3.</w:t>
      </w:r>
      <w:r>
        <w:rPr>
          <w:rFonts w:hint="default" w:ascii="Times New Roman" w:hAnsi="Times New Roman" w:eastAsia="仿宋_GB2312" w:cs="仿宋_GB2312"/>
          <w:color w:val="auto"/>
          <w:spacing w:val="-4"/>
          <w:sz w:val="32"/>
          <w:szCs w:val="32"/>
          <w:highlight w:val="none"/>
          <w:lang w:val="en-US" w:eastAsia="zh-CN"/>
        </w:rPr>
        <w:t>承担全县服务业发展工作的牵头协调职责，建立公开、平等、规范的服务业市场准入制度，全面落实税收优惠政策，加强政策性资金对服务业发展的支持，积极引导信贷资金和社会资本投入服务业，建立合理的服务业价格收费标准体系，加大服务业对外开放力度，加强服务业市场监督。</w:t>
      </w:r>
    </w:p>
    <w:p w14:paraId="3A44751F">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4.</w:t>
      </w:r>
      <w:r>
        <w:rPr>
          <w:rFonts w:hint="default" w:ascii="Times New Roman" w:hAnsi="Times New Roman" w:eastAsia="仿宋_GB2312" w:cs="仿宋_GB2312"/>
          <w:b w:val="0"/>
          <w:bCs w:val="0"/>
          <w:color w:val="auto"/>
          <w:spacing w:val="-4"/>
          <w:sz w:val="32"/>
          <w:szCs w:val="32"/>
          <w:highlight w:val="none"/>
          <w:lang w:val="en-US" w:eastAsia="zh-CN"/>
        </w:rPr>
        <w:t>负</w:t>
      </w:r>
      <w:r>
        <w:rPr>
          <w:rFonts w:hint="default" w:ascii="Times New Roman" w:hAnsi="Times New Roman" w:eastAsia="仿宋_GB2312" w:cs="仿宋_GB2312"/>
          <w:color w:val="auto"/>
          <w:spacing w:val="-4"/>
          <w:sz w:val="32"/>
          <w:szCs w:val="32"/>
          <w:highlight w:val="none"/>
          <w:lang w:val="en-US" w:eastAsia="zh-CN"/>
        </w:rPr>
        <w:t>责协调推进全县物流产业发展工作。组织贯彻落实现代物流业发展政策，推进物流产业结构调整，加快第三方物流发展。</w:t>
      </w:r>
    </w:p>
    <w:p w14:paraId="18FC82C9">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5.</w:t>
      </w:r>
      <w:r>
        <w:rPr>
          <w:rFonts w:hint="default" w:ascii="Times New Roman" w:hAnsi="Times New Roman" w:eastAsia="仿宋_GB2312" w:cs="仿宋_GB2312"/>
          <w:color w:val="auto"/>
          <w:spacing w:val="-4"/>
          <w:sz w:val="32"/>
          <w:szCs w:val="32"/>
          <w:highlight w:val="none"/>
          <w:lang w:val="en-US" w:eastAsia="zh-CN"/>
        </w:rPr>
        <w:t>贯彻落实国家、省、市有关国内外贸易、外商投资和国际经济合作的法律、法规和方针、政策。拟订全县国内外贸易、外商投资和对外经济合作的政策措施、规范性文件和实施细则。拟订全县商务发展规划、年度计划并组织实施。加强各区域的商贸合作，推进贸易和投资便利化。</w:t>
      </w:r>
    </w:p>
    <w:p w14:paraId="3E98BDB0">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6.</w:t>
      </w:r>
      <w:r>
        <w:rPr>
          <w:rFonts w:hint="default" w:ascii="Times New Roman" w:hAnsi="Times New Roman" w:eastAsia="仿宋_GB2312" w:cs="仿宋_GB2312"/>
          <w:color w:val="auto"/>
          <w:spacing w:val="-4"/>
          <w:sz w:val="32"/>
          <w:szCs w:val="32"/>
          <w:highlight w:val="none"/>
          <w:lang w:val="en-US" w:eastAsia="zh-CN"/>
        </w:rPr>
        <w:t>指导全县外商投资促进和管理工作。参与拟订外商投资政策措施、发展规划和改革方案并组织实施。统计分析全县外商投资情况。依法监督检查外商投资企业执行有关法律法规规章、合同章程的情况并协调解决有关问题。</w:t>
      </w:r>
    </w:p>
    <w:p w14:paraId="792E151E">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7.</w:t>
      </w:r>
      <w:r>
        <w:rPr>
          <w:rFonts w:hint="default" w:ascii="Times New Roman" w:hAnsi="Times New Roman" w:eastAsia="仿宋_GB2312" w:cs="仿宋_GB2312"/>
          <w:color w:val="auto"/>
          <w:spacing w:val="-4"/>
          <w:sz w:val="32"/>
          <w:szCs w:val="32"/>
          <w:highlight w:val="none"/>
          <w:lang w:val="en-US" w:eastAsia="zh-CN"/>
        </w:rPr>
        <w:t>指导流通企业改革、商贸服务业和社区商业发展，提出促进商贸企业发展的政策建议，推动流通标准化和连锁经营、商业特许经营、物流配送、电子商务等现代流通方式的发展。</w:t>
      </w:r>
    </w:p>
    <w:p w14:paraId="00E2DAB7">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8.</w:t>
      </w:r>
      <w:r>
        <w:rPr>
          <w:rFonts w:hint="default" w:ascii="Times New Roman" w:hAnsi="Times New Roman" w:eastAsia="仿宋_GB2312" w:cs="仿宋_GB2312"/>
          <w:color w:val="auto"/>
          <w:spacing w:val="-4"/>
          <w:sz w:val="32"/>
          <w:szCs w:val="32"/>
          <w:highlight w:val="none"/>
          <w:lang w:val="en-US" w:eastAsia="zh-CN"/>
        </w:rPr>
        <w:t>拟订规范市场运行和流通秩序的管理制度并组织实施。组织编制大宗商品批发市场规划，指导城市商业网点规划和商业体系建设工作，推进农村市场体系建设，组织实施农村现代流通网络工程，促进城乡市场一体化发展。</w:t>
      </w:r>
    </w:p>
    <w:p w14:paraId="3119CB16">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9.</w:t>
      </w:r>
      <w:r>
        <w:rPr>
          <w:rFonts w:hint="default" w:ascii="Times New Roman" w:hAnsi="Times New Roman" w:eastAsia="仿宋_GB2312" w:cs="仿宋_GB2312"/>
          <w:color w:val="auto"/>
          <w:spacing w:val="-4"/>
          <w:sz w:val="32"/>
          <w:szCs w:val="32"/>
          <w:highlight w:val="none"/>
          <w:lang w:val="en-US" w:eastAsia="zh-CN"/>
        </w:rPr>
        <w:t>牵头协调全县整顿和规范市场经济秩序工作，部署、指导和综合协调专项整治行动，督查督办涉及市场经济秩序案件的查处工作。对市场经济活动中的重大问题进行调研，推动商务领域信用体系建设，指导商业企业开展信用销售，建立市场诚信公共服务平台。按有关规定对特殊流通行业、药品流通行业进行监督管理。</w:t>
      </w:r>
    </w:p>
    <w:p w14:paraId="1CAB2C65">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10.</w:t>
      </w:r>
      <w:r>
        <w:rPr>
          <w:rFonts w:hint="default" w:ascii="Times New Roman" w:hAnsi="Times New Roman" w:eastAsia="仿宋_GB2312" w:cs="仿宋_GB2312"/>
          <w:color w:val="auto"/>
          <w:spacing w:val="-4"/>
          <w:sz w:val="32"/>
          <w:szCs w:val="32"/>
          <w:highlight w:val="none"/>
          <w:lang w:val="en-US" w:eastAsia="zh-CN"/>
        </w:rPr>
        <w:t>拟订促进转变外贸增长方式的政策措施，指导对外贸易行业执行国家进出口商品、加工贸易管理办法和进出口管理商品、技术目录，推进进出口贸易标准化工作。加强发展服务贸易相关工作，推进服务外包发展，指导贸易促进活动和外贸促进体系建设。</w:t>
      </w:r>
    </w:p>
    <w:p w14:paraId="2D0AA034">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11.</w:t>
      </w:r>
      <w:r>
        <w:rPr>
          <w:rFonts w:hint="default" w:ascii="Times New Roman" w:hAnsi="Times New Roman" w:eastAsia="仿宋_GB2312" w:cs="仿宋_GB2312"/>
          <w:color w:val="auto"/>
          <w:spacing w:val="-4"/>
          <w:sz w:val="32"/>
          <w:szCs w:val="32"/>
          <w:highlight w:val="none"/>
          <w:lang w:val="en-US" w:eastAsia="zh-CN"/>
        </w:rPr>
        <w:t>参与推进我县与国（境）内外相关区域合作。承担我县与国（境）内外相关区域经济合作活动的有关具体工作。承担推动我县与港澳台地区经贸合作有关工作。</w:t>
      </w:r>
    </w:p>
    <w:p w14:paraId="75A8C13F">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12.</w:t>
      </w:r>
      <w:r>
        <w:rPr>
          <w:rFonts w:hint="default" w:ascii="Times New Roman" w:hAnsi="Times New Roman" w:eastAsia="仿宋_GB2312" w:cs="仿宋_GB2312"/>
          <w:color w:val="auto"/>
          <w:spacing w:val="-4"/>
          <w:sz w:val="32"/>
          <w:szCs w:val="32"/>
          <w:highlight w:val="none"/>
          <w:lang w:val="en-US" w:eastAsia="zh-CN"/>
        </w:rPr>
        <w:t>承担组织协调反倾销、反补贴、保障措施和技术性贸易壁垒等与进出口公平贸易相关工作的责任，建立进出口公平贸易预警机制。</w:t>
      </w:r>
    </w:p>
    <w:p w14:paraId="531A495D">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13.</w:t>
      </w:r>
      <w:r>
        <w:rPr>
          <w:rFonts w:hint="default" w:ascii="Times New Roman" w:hAnsi="Times New Roman" w:eastAsia="仿宋_GB2312" w:cs="仿宋_GB2312"/>
          <w:color w:val="auto"/>
          <w:spacing w:val="-4"/>
          <w:sz w:val="32"/>
          <w:szCs w:val="32"/>
          <w:highlight w:val="none"/>
          <w:lang w:val="en-US" w:eastAsia="zh-CN"/>
        </w:rPr>
        <w:t>负责全县对外经济合作工作。提出建议并执行对外经济合作政策。依法管理和监督对外承包工程、对外劳务合作和出境就业等。承担境外投资管理的责任，协调外派劳务和赴境外就业人员的权益保护工作。执行国家、省、市、县对外援助任务。</w:t>
      </w:r>
    </w:p>
    <w:p w14:paraId="20B3FA87">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14.</w:t>
      </w:r>
      <w:r>
        <w:rPr>
          <w:rFonts w:hint="default" w:ascii="Times New Roman" w:hAnsi="Times New Roman" w:eastAsia="仿宋_GB2312" w:cs="仿宋_GB2312"/>
          <w:color w:val="auto"/>
          <w:spacing w:val="-4"/>
          <w:sz w:val="32"/>
          <w:szCs w:val="32"/>
          <w:highlight w:val="none"/>
          <w:lang w:val="en-US" w:eastAsia="zh-CN"/>
        </w:rPr>
        <w:t>负责我县各种商品交易会和经贸推介活动。指导管理以大英名义在境内举办的各种商贸交易会、展览会、展销会等活动。</w:t>
      </w:r>
    </w:p>
    <w:p w14:paraId="2EC4B018">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15.</w:t>
      </w:r>
      <w:r>
        <w:rPr>
          <w:rFonts w:hint="default" w:ascii="Times New Roman" w:hAnsi="Times New Roman" w:eastAsia="仿宋_GB2312" w:cs="仿宋_GB2312"/>
          <w:color w:val="auto"/>
          <w:spacing w:val="-4"/>
          <w:sz w:val="32"/>
          <w:szCs w:val="32"/>
          <w:highlight w:val="none"/>
          <w:lang w:val="en-US" w:eastAsia="zh-CN"/>
        </w:rPr>
        <w:t>规划全县商务系统电子政务、公共商务信息服务体系建设并组织实施，推动电子商务发展。</w:t>
      </w:r>
    </w:p>
    <w:p w14:paraId="70ACF346">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16.</w:t>
      </w:r>
      <w:r>
        <w:rPr>
          <w:rFonts w:hint="default" w:ascii="Times New Roman" w:hAnsi="Times New Roman" w:eastAsia="仿宋_GB2312" w:cs="仿宋_GB2312"/>
          <w:color w:val="auto"/>
          <w:spacing w:val="-4"/>
          <w:sz w:val="32"/>
          <w:szCs w:val="32"/>
          <w:highlight w:val="none"/>
          <w:lang w:val="en-US" w:eastAsia="zh-CN"/>
        </w:rPr>
        <w:t>负责职责范围内的安全生产和职业健康、生态环境保护、审批服务便民化等工作。</w:t>
      </w:r>
    </w:p>
    <w:p w14:paraId="6264CDDA">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17.</w:t>
      </w:r>
      <w:r>
        <w:rPr>
          <w:rFonts w:hint="default" w:ascii="Times New Roman" w:hAnsi="Times New Roman" w:eastAsia="仿宋_GB2312" w:cs="仿宋_GB2312"/>
          <w:color w:val="auto"/>
          <w:spacing w:val="-4"/>
          <w:sz w:val="32"/>
          <w:szCs w:val="32"/>
          <w:highlight w:val="none"/>
          <w:lang w:val="en-US" w:eastAsia="zh-CN"/>
        </w:rPr>
        <w:t>完成县委和县政府交办的其他任务。</w:t>
      </w:r>
    </w:p>
    <w:p w14:paraId="68ADEC14">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18.</w:t>
      </w:r>
      <w:r>
        <w:rPr>
          <w:rFonts w:hint="default" w:ascii="Times New Roman" w:hAnsi="Times New Roman" w:eastAsia="仿宋_GB2312" w:cs="仿宋_GB2312"/>
          <w:color w:val="auto"/>
          <w:spacing w:val="-4"/>
          <w:sz w:val="32"/>
          <w:szCs w:val="32"/>
          <w:highlight w:val="none"/>
          <w:lang w:val="en-US" w:eastAsia="zh-CN"/>
        </w:rPr>
        <w:t>职能转变。建立健全体制机制，加强对全县经济合作的统筹，推进内资、外资招商有机融合发展。优化精准招商、精品招商、集群招商路径和方式，提升开放合作平台影响力，提高招商引资质量，发展壮大重点产业。深入实施外商投资管理体制改革，进一步改进外商投资管理，提高投资便利化水平。提升与发达地区经济合作层次，推动全县投资促进分工协作、错位发展。加强对重大引进项目的跟踪服务，完善县级重大引进项目激励机制。</w:t>
      </w:r>
    </w:p>
    <w:p w14:paraId="3DCCDD03">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b/>
          <w:bCs/>
          <w:color w:val="auto"/>
          <w:spacing w:val="-4"/>
          <w:sz w:val="32"/>
          <w:szCs w:val="32"/>
          <w:highlight w:val="none"/>
          <w:lang w:val="en-US" w:eastAsia="zh-CN"/>
        </w:rPr>
        <w:t>19.</w:t>
      </w:r>
      <w:r>
        <w:rPr>
          <w:rFonts w:hint="default" w:ascii="Times New Roman" w:hAnsi="Times New Roman" w:eastAsia="仿宋_GB2312" w:cs="仿宋_GB2312"/>
          <w:color w:val="auto"/>
          <w:spacing w:val="-4"/>
          <w:sz w:val="32"/>
          <w:szCs w:val="32"/>
          <w:highlight w:val="none"/>
          <w:lang w:val="en-US" w:eastAsia="zh-CN"/>
        </w:rPr>
        <w:t>有关职责分工。</w:t>
      </w:r>
    </w:p>
    <w:p w14:paraId="052F88BC">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仿宋_GB2312"/>
          <w:color w:val="auto"/>
          <w:spacing w:val="-4"/>
          <w:sz w:val="32"/>
          <w:szCs w:val="32"/>
          <w:highlight w:val="none"/>
          <w:lang w:val="en-US" w:eastAsia="zh-CN"/>
        </w:rPr>
      </w:pPr>
      <w:r>
        <w:rPr>
          <w:rFonts w:hint="default" w:ascii="Times New Roman" w:hAnsi="Times New Roman" w:eastAsia="仿宋_GB2312" w:cs="仿宋_GB2312"/>
          <w:color w:val="auto"/>
          <w:spacing w:val="-4"/>
          <w:sz w:val="32"/>
          <w:szCs w:val="32"/>
          <w:highlight w:val="none"/>
          <w:lang w:val="en-US" w:eastAsia="zh-CN"/>
        </w:rPr>
        <w:t>（1）与县发展改革局的有关职责分工。</w:t>
      </w:r>
      <w:r>
        <w:rPr>
          <w:rFonts w:hint="default" w:ascii="Times New Roman" w:hAnsi="Times New Roman" w:eastAsia="仿宋_GB2312" w:cs="仿宋_GB2312"/>
          <w:color w:val="auto"/>
          <w:spacing w:val="-4"/>
          <w:sz w:val="32"/>
          <w:szCs w:val="32"/>
          <w:highlight w:val="none"/>
          <w:lang w:val="en-US" w:eastAsia="zh-CN"/>
        </w:rPr>
        <w:sym w:font="Wingdings" w:char="F081"/>
      </w:r>
      <w:r>
        <w:rPr>
          <w:rFonts w:hint="default" w:ascii="Times New Roman" w:hAnsi="Times New Roman" w:eastAsia="仿宋_GB2312" w:cs="仿宋_GB2312"/>
          <w:color w:val="auto"/>
          <w:spacing w:val="-4"/>
          <w:sz w:val="32"/>
          <w:szCs w:val="32"/>
          <w:highlight w:val="none"/>
          <w:lang w:val="en-US" w:eastAsia="zh-CN"/>
        </w:rPr>
        <w:t>县发展改革局负责编制重要工业品、原材料和重要农产品的进出口总量计划，县商务经合局在确定的总量计划内组织实施。粮食、棉花、煤炭由县发展改革局会同县商务经合局在进出口总量计划内进行分配并协调相关政策。</w:t>
      </w:r>
      <w:r>
        <w:rPr>
          <w:rFonts w:hint="default" w:ascii="Times New Roman" w:hAnsi="Times New Roman" w:eastAsia="仿宋_GB2312" w:cs="仿宋_GB2312"/>
          <w:color w:val="auto"/>
          <w:spacing w:val="-4"/>
          <w:sz w:val="32"/>
          <w:szCs w:val="32"/>
          <w:highlight w:val="none"/>
          <w:lang w:val="en-US" w:eastAsia="zh-CN"/>
        </w:rPr>
        <w:sym w:font="Wingdings" w:char="F082"/>
      </w:r>
      <w:r>
        <w:rPr>
          <w:rFonts w:hint="default" w:ascii="Times New Roman" w:hAnsi="Times New Roman" w:eastAsia="仿宋_GB2312" w:cs="仿宋_GB2312"/>
          <w:color w:val="auto"/>
          <w:spacing w:val="-4"/>
          <w:sz w:val="32"/>
          <w:szCs w:val="32"/>
          <w:highlight w:val="none"/>
          <w:lang w:val="en-US" w:eastAsia="zh-CN"/>
        </w:rPr>
        <w:t>外商投资管理。县发展改革局会同县商务经合局等部门结合实际提出关于《外商投资产业指导目录》和《中西部地区外商投资优势产业目录》的相关意见。县发展改革局按规定权限负责对外商投资项目进行核准、备案，县商务经合局按规定权限负责对外商投资企业设立及变更备案。</w:t>
      </w:r>
      <w:r>
        <w:rPr>
          <w:rFonts w:hint="default" w:ascii="Times New Roman" w:hAnsi="Times New Roman" w:eastAsia="仿宋_GB2312" w:cs="仿宋_GB2312"/>
          <w:color w:val="auto"/>
          <w:spacing w:val="-4"/>
          <w:sz w:val="32"/>
          <w:szCs w:val="32"/>
          <w:highlight w:val="none"/>
          <w:lang w:val="en-US" w:eastAsia="zh-CN"/>
        </w:rPr>
        <w:sym w:font="Wingdings" w:char="F083"/>
      </w:r>
      <w:r>
        <w:rPr>
          <w:rFonts w:hint="default" w:ascii="Times New Roman" w:hAnsi="Times New Roman" w:eastAsia="仿宋_GB2312" w:cs="仿宋_GB2312"/>
          <w:color w:val="auto"/>
          <w:spacing w:val="-4"/>
          <w:sz w:val="32"/>
          <w:szCs w:val="32"/>
          <w:highlight w:val="none"/>
          <w:lang w:val="en-US" w:eastAsia="zh-CN"/>
        </w:rPr>
        <w:t>并购安全审查。县发展改革局、县商务经合局按照各自职责，分别配合国家、省、市发展改革、商务和经济合作部门开展外国投资者并购县内企业安全审查的相关工作。</w:t>
      </w:r>
    </w:p>
    <w:p w14:paraId="5CBF1E67">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4" w:firstLineChars="200"/>
        <w:jc w:val="both"/>
        <w:textAlignment w:val="auto"/>
        <w:outlineLvl w:val="9"/>
        <w:rPr>
          <w:rFonts w:hint="default" w:ascii="Times New Roman" w:hAnsi="Times New Roman" w:eastAsia="仿宋_GB2312" w:cs="Times New Roman"/>
          <w:color w:val="000000" w:themeColor="text1"/>
          <w:spacing w:val="-4"/>
          <w:kern w:val="0"/>
          <w:sz w:val="32"/>
          <w:szCs w:val="32"/>
          <w:shd w:val="clear" w:color="auto" w:fill="FFFFFF"/>
          <w:lang w:val="en-US" w:eastAsia="zh-CN"/>
          <w14:textFill>
            <w14:solidFill>
              <w14:schemeClr w14:val="tx1"/>
            </w14:solidFill>
          </w14:textFill>
        </w:rPr>
      </w:pPr>
      <w:r>
        <w:rPr>
          <w:rFonts w:hint="default" w:ascii="Times New Roman" w:hAnsi="Times New Roman" w:eastAsia="仿宋_GB2312" w:cs="仿宋_GB2312"/>
          <w:color w:val="auto"/>
          <w:spacing w:val="-4"/>
          <w:sz w:val="32"/>
          <w:szCs w:val="32"/>
          <w:highlight w:val="none"/>
          <w:lang w:val="en-US" w:eastAsia="zh-CN"/>
        </w:rPr>
        <w:t>（2）与县市场监管局的有关职责分工。县商务经合局负责贯彻落实国家、省、市药品流通发展规划和政策并制定县级规划和政策措施。县市场监管局在药品监督管理工作中，配合执行药品流通发展规划和政策。</w:t>
      </w:r>
    </w:p>
    <w:p w14:paraId="72987EF2">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（三）人员概况</w:t>
      </w:r>
    </w:p>
    <w:p w14:paraId="2BC66414">
      <w:pPr>
        <w:pStyle w:val="12"/>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590" w:lineRule="exact"/>
        <w:ind w:left="0" w:leftChars="0" w:right="0" w:firstLine="634" w:firstLineChars="200"/>
        <w:textAlignment w:val="auto"/>
        <w:rPr>
          <w:rFonts w:hint="eastAsia" w:ascii="Times New Roman" w:hAnsi="Times New Roman" w:eastAsia="仿宋_GB2312" w:cs="仿宋_GB2312"/>
          <w:color w:val="auto"/>
          <w:spacing w:val="-4"/>
          <w:sz w:val="32"/>
          <w:szCs w:val="32"/>
          <w:lang w:val="zh-CN"/>
        </w:rPr>
      </w:pPr>
      <w:r>
        <w:rPr>
          <w:rFonts w:hint="eastAsia" w:ascii="Times New Roman" w:hAnsi="Times New Roman" w:eastAsia="仿宋_GB2312" w:cs="仿宋_GB2312"/>
          <w:i w:val="0"/>
          <w:caps w:val="0"/>
          <w:color w:val="auto"/>
          <w:spacing w:val="-4"/>
          <w:sz w:val="32"/>
          <w:szCs w:val="32"/>
          <w:shd w:val="clear" w:color="auto" w:fill="FFFFFF"/>
          <w:lang w:eastAsia="zh-CN"/>
        </w:rPr>
        <w:t>截止</w:t>
      </w:r>
      <w:r>
        <w:rPr>
          <w:rFonts w:hint="eastAsia" w:ascii="Times New Roman" w:hAnsi="Times New Roman" w:eastAsia="仿宋_GB2312" w:cs="仿宋_GB2312"/>
          <w:i w:val="0"/>
          <w:caps w:val="0"/>
          <w:color w:val="auto"/>
          <w:spacing w:val="-4"/>
          <w:sz w:val="32"/>
          <w:szCs w:val="32"/>
          <w:shd w:val="clear" w:color="auto" w:fill="FFFFFF"/>
          <w:lang w:val="en-US" w:eastAsia="zh-CN"/>
        </w:rPr>
        <w:t>202</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3年10月底，</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县</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商务经合</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局</w:t>
      </w:r>
      <w:r>
        <w:rPr>
          <w:rFonts w:hint="eastAsia" w:ascii="Times New Roman" w:hAnsi="Times New Roman" w:eastAsia="仿宋_GB2312" w:cs="仿宋_GB2312"/>
          <w:i w:val="0"/>
          <w:caps w:val="0"/>
          <w:color w:val="000000" w:themeColor="text1"/>
          <w:spacing w:val="-4"/>
          <w:sz w:val="32"/>
          <w:szCs w:val="32"/>
          <w:shd w:val="clear" w:color="auto" w:fill="FFFFFF"/>
          <w:lang w:eastAsia="zh-CN"/>
          <w14:textFill>
            <w14:solidFill>
              <w14:schemeClr w14:val="tx1"/>
            </w14:solidFill>
          </w14:textFill>
        </w:rPr>
        <w:t>在编人员</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38名</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，其中行政</w:t>
      </w:r>
      <w:r>
        <w:rPr>
          <w:rFonts w:hint="eastAsia" w:ascii="Times New Roman" w:hAnsi="Times New Roman" w:eastAsia="仿宋_GB2312" w:cs="仿宋_GB2312"/>
          <w:i w:val="0"/>
          <w:caps w:val="0"/>
          <w:color w:val="000000" w:themeColor="text1"/>
          <w:spacing w:val="-4"/>
          <w:sz w:val="32"/>
          <w:szCs w:val="32"/>
          <w:shd w:val="clear" w:color="auto" w:fill="FFFFFF"/>
          <w:lang w:eastAsia="zh-CN"/>
          <w14:textFill>
            <w14:solidFill>
              <w14:schemeClr w14:val="tx1"/>
            </w14:solidFill>
          </w14:textFill>
        </w:rPr>
        <w:t>编制</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人员</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10</w:t>
      </w:r>
      <w:r>
        <w:rPr>
          <w:rFonts w:hint="eastAsia" w:ascii="Times New Roman" w:hAnsi="Times New Roman" w:eastAsia="仿宋_GB2312" w:cs="仿宋_GB2312"/>
          <w:i w:val="0"/>
          <w:caps w:val="0"/>
          <w:color w:val="000000" w:themeColor="text1"/>
          <w:spacing w:val="-4"/>
          <w:sz w:val="32"/>
          <w:szCs w:val="32"/>
          <w:shd w:val="clear" w:color="auto" w:fill="FFFFFF"/>
          <w:lang w:eastAsia="zh-CN"/>
          <w14:textFill>
            <w14:solidFill>
              <w14:schemeClr w14:val="tx1"/>
            </w14:solidFill>
          </w14:textFill>
        </w:rPr>
        <w:t>名</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(含机关工勤1名）</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，事业</w:t>
      </w:r>
      <w:r>
        <w:rPr>
          <w:rFonts w:hint="eastAsia" w:ascii="Times New Roman" w:hAnsi="Times New Roman" w:eastAsia="仿宋_GB2312" w:cs="仿宋_GB2312"/>
          <w:i w:val="0"/>
          <w:caps w:val="0"/>
          <w:color w:val="000000" w:themeColor="text1"/>
          <w:spacing w:val="-4"/>
          <w:sz w:val="32"/>
          <w:szCs w:val="32"/>
          <w:shd w:val="clear" w:color="auto" w:fill="FFFFFF"/>
          <w:lang w:eastAsia="zh-CN"/>
          <w14:textFill>
            <w14:solidFill>
              <w14:schemeClr w14:val="tx1"/>
            </w14:solidFill>
          </w14:textFill>
        </w:rPr>
        <w:t>编制</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人员</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28</w:t>
      </w:r>
      <w:r>
        <w:rPr>
          <w:rFonts w:hint="eastAsia" w:ascii="Times New Roman" w:hAnsi="Times New Roman" w:eastAsia="仿宋_GB2312" w:cs="仿宋_GB2312"/>
          <w:i w:val="0"/>
          <w:caps w:val="0"/>
          <w:color w:val="000000" w:themeColor="text1"/>
          <w:spacing w:val="-4"/>
          <w:sz w:val="32"/>
          <w:szCs w:val="32"/>
          <w:shd w:val="clear" w:color="auto" w:fill="FFFFFF"/>
          <w:lang w:eastAsia="zh-CN"/>
          <w14:textFill>
            <w14:solidFill>
              <w14:schemeClr w14:val="tx1"/>
            </w14:solidFill>
          </w14:textFill>
        </w:rPr>
        <w:t>名（</w:t>
      </w:r>
      <w:r>
        <w:rPr>
          <w:rFonts w:hint="eastAsia" w:ascii="Times New Roman" w:hAnsi="Times New Roman" w:eastAsia="仿宋_GB2312" w:cs="仿宋_GB2312"/>
          <w:i w:val="0"/>
          <w:caps w:val="0"/>
          <w:color w:val="000000" w:themeColor="text1"/>
          <w:spacing w:val="-4"/>
          <w:sz w:val="32"/>
          <w:szCs w:val="32"/>
          <w:shd w:val="clear" w:color="auto" w:fill="FFFFFF"/>
          <w:lang w:val="en-US" w:eastAsia="zh-CN"/>
          <w14:textFill>
            <w14:solidFill>
              <w14:schemeClr w14:val="tx1"/>
            </w14:solidFill>
          </w14:textFill>
        </w:rPr>
        <w:t>其中事业工人6名，专业技术人员1名，管理岗位人员21名</w:t>
      </w:r>
      <w:r>
        <w:rPr>
          <w:rFonts w:hint="eastAsia" w:ascii="Times New Roman" w:hAnsi="Times New Roman" w:eastAsia="仿宋_GB2312" w:cs="仿宋_GB2312"/>
          <w:i w:val="0"/>
          <w:caps w:val="0"/>
          <w:color w:val="000000" w:themeColor="text1"/>
          <w:spacing w:val="-4"/>
          <w:sz w:val="32"/>
          <w:szCs w:val="32"/>
          <w:shd w:val="clear" w:color="auto" w:fill="FFFFFF"/>
          <w:lang w:eastAsia="zh-CN"/>
          <w14:textFill>
            <w14:solidFill>
              <w14:schemeClr w14:val="tx1"/>
            </w14:solidFill>
          </w14:textFill>
        </w:rPr>
        <w:t>）</w:t>
      </w:r>
      <w:r>
        <w:rPr>
          <w:rFonts w:hint="eastAsia" w:ascii="Times New Roman" w:hAnsi="Times New Roman" w:eastAsia="仿宋_GB2312" w:cs="仿宋_GB2312"/>
          <w:i w:val="0"/>
          <w:caps w:val="0"/>
          <w:color w:val="000000" w:themeColor="text1"/>
          <w:spacing w:val="-4"/>
          <w:sz w:val="32"/>
          <w:szCs w:val="32"/>
          <w:shd w:val="clear" w:color="auto" w:fill="FFFFFF"/>
          <w14:textFill>
            <w14:solidFill>
              <w14:schemeClr w14:val="tx1"/>
            </w14:solidFill>
          </w14:textFill>
        </w:rPr>
        <w:t>。</w:t>
      </w:r>
    </w:p>
    <w:p w14:paraId="7714E81F">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黑体" w:cs="Times New Roman"/>
          <w:color w:val="000000" w:themeColor="text1"/>
          <w:spacing w:val="-4"/>
          <w:kern w:val="0"/>
          <w:sz w:val="32"/>
          <w:szCs w:val="32"/>
          <w:shd w:val="clear" w:color="auto" w:fill="FFFFFF"/>
          <w14:textFill>
            <w14:solidFill>
              <w14:schemeClr w14:val="tx1"/>
            </w14:solidFill>
          </w14:textFill>
        </w:rPr>
      </w:pPr>
      <w:r>
        <w:rPr>
          <w:rFonts w:hint="default" w:ascii="Times New Roman" w:hAnsi="Times New Roman" w:eastAsia="黑体" w:cs="Times New Roman"/>
          <w:color w:val="000000" w:themeColor="text1"/>
          <w:spacing w:val="-4"/>
          <w:kern w:val="0"/>
          <w:sz w:val="32"/>
          <w:szCs w:val="32"/>
          <w:shd w:val="clear" w:color="auto" w:fill="FFFFFF"/>
          <w14:textFill>
            <w14:solidFill>
              <w14:schemeClr w14:val="tx1"/>
            </w14:solidFill>
          </w14:textFill>
        </w:rPr>
        <w:t>二、部门财政资金收支情况</w:t>
      </w:r>
    </w:p>
    <w:p w14:paraId="5DE6E778">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auto"/>
          <w:spacing w:val="-4"/>
          <w:kern w:val="0"/>
          <w:sz w:val="32"/>
          <w:szCs w:val="32"/>
          <w:shd w:val="clear" w:color="auto" w:fill="FFFFFF"/>
          <w:lang w:val="zh-CN"/>
        </w:rPr>
      </w:pPr>
      <w:r>
        <w:rPr>
          <w:rFonts w:hint="default" w:ascii="Times New Roman" w:hAnsi="Times New Roman" w:eastAsia="楷体_GB2312" w:cs="Times New Roman"/>
          <w:b/>
          <w:bCs/>
          <w:color w:val="auto"/>
          <w:spacing w:val="-4"/>
          <w:kern w:val="0"/>
          <w:sz w:val="32"/>
          <w:szCs w:val="32"/>
          <w:shd w:val="clear" w:color="auto" w:fill="FFFFFF"/>
          <w:lang w:val="zh-CN"/>
        </w:rPr>
        <w:t>（一）部门财政资金收入情况</w:t>
      </w:r>
    </w:p>
    <w:p w14:paraId="205395E9">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jc w:val="both"/>
        <w:rPr>
          <w:rFonts w:hint="default" w:ascii="Times New Roman" w:hAnsi="Times New Roman" w:eastAsia="仿宋_GB2312" w:cs="仿宋_GB2312"/>
          <w:i w:val="0"/>
          <w:caps w:val="0"/>
          <w:color w:val="000000" w:themeColor="text1"/>
          <w:spacing w:val="-4"/>
          <w:kern w:val="0"/>
          <w:sz w:val="32"/>
          <w:szCs w:val="32"/>
          <w:shd w:val="clear" w:color="auto" w:fill="FFFFFF"/>
          <w:lang w:val="zh-CN" w:eastAsia="zh-CN" w:bidi="ar"/>
          <w14:textFill>
            <w14:solidFill>
              <w14:schemeClr w14:val="tx1"/>
            </w14:solidFill>
          </w14:textFill>
        </w:rPr>
      </w:pP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202</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3</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年县商务经合局收入预算</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3052.6万元</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。其中一般公共预算财政拨款收入</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3052.6万元</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占100.00%</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w:t>
      </w:r>
    </w:p>
    <w:p w14:paraId="261C0C50">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auto"/>
          <w:spacing w:val="-4"/>
          <w:kern w:val="0"/>
          <w:sz w:val="32"/>
          <w:szCs w:val="32"/>
          <w:shd w:val="clear" w:color="auto" w:fill="FFFFFF"/>
          <w:lang w:val="zh-CN"/>
        </w:rPr>
      </w:pPr>
      <w:r>
        <w:rPr>
          <w:rFonts w:hint="default" w:ascii="Times New Roman" w:hAnsi="Times New Roman" w:eastAsia="楷体_GB2312" w:cs="Times New Roman"/>
          <w:b/>
          <w:bCs/>
          <w:color w:val="auto"/>
          <w:spacing w:val="-4"/>
          <w:kern w:val="0"/>
          <w:sz w:val="32"/>
          <w:szCs w:val="32"/>
          <w:shd w:val="clear" w:color="auto" w:fill="FFFFFF"/>
          <w:lang w:val="zh-CN"/>
        </w:rPr>
        <w:t>（</w:t>
      </w:r>
      <w:r>
        <w:rPr>
          <w:rFonts w:hint="default" w:ascii="Times New Roman" w:hAnsi="Times New Roman" w:eastAsia="楷体_GB2312" w:cs="Times New Roman"/>
          <w:b/>
          <w:bCs/>
          <w:color w:val="auto"/>
          <w:spacing w:val="-4"/>
          <w:kern w:val="0"/>
          <w:sz w:val="32"/>
          <w:szCs w:val="32"/>
          <w:shd w:val="clear" w:color="auto" w:fill="FFFFFF"/>
          <w:lang w:val="en-US" w:eastAsia="zh-CN"/>
        </w:rPr>
        <w:t>二</w:t>
      </w:r>
      <w:r>
        <w:rPr>
          <w:rFonts w:hint="default" w:ascii="Times New Roman" w:hAnsi="Times New Roman" w:eastAsia="楷体_GB2312" w:cs="Times New Roman"/>
          <w:b/>
          <w:bCs/>
          <w:color w:val="auto"/>
          <w:spacing w:val="-4"/>
          <w:kern w:val="0"/>
          <w:sz w:val="32"/>
          <w:szCs w:val="32"/>
          <w:shd w:val="clear" w:color="auto" w:fill="FFFFFF"/>
          <w:lang w:val="zh-CN"/>
        </w:rPr>
        <w:t>）部门财政资金支出情况</w:t>
      </w:r>
    </w:p>
    <w:p w14:paraId="14922650">
      <w:pPr>
        <w:pStyle w:val="3"/>
        <w:keepNext w:val="0"/>
        <w:keepLines w:val="0"/>
        <w:pageBreakBefore w:val="0"/>
        <w:widowControl w:val="0"/>
        <w:kinsoku/>
        <w:wordWrap/>
        <w:overflowPunct/>
        <w:topLinePunct w:val="0"/>
        <w:autoSpaceDE/>
        <w:autoSpaceDN/>
        <w:bidi w:val="0"/>
        <w:spacing w:line="590" w:lineRule="exact"/>
        <w:ind w:left="0" w:leftChars="0" w:firstLine="634" w:firstLineChars="200"/>
        <w:rPr>
          <w:rFonts w:hint="default" w:ascii="Times New Roman" w:hAnsi="Times New Roman" w:eastAsia="仿宋_GB2312" w:cs="Times New Roman"/>
          <w:color w:val="auto"/>
          <w:spacing w:val="-4"/>
          <w:sz w:val="32"/>
          <w:szCs w:val="32"/>
          <w:lang w:val="zh-CN"/>
        </w:rPr>
      </w:pP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202</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3</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年县商务经合局支出合计</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3052.6</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万元，其中：</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基本支出627.91万元，占20.57%</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w:t>
      </w:r>
      <w:r>
        <w:rPr>
          <w:rFonts w:hint="eastAsia"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项目支出2424.69万元，占75.43%</w:t>
      </w:r>
      <w:r>
        <w:rPr>
          <w:rFonts w:hint="default" w:ascii="Times New Roman" w:hAnsi="Times New Roman" w:eastAsia="仿宋_GB2312" w:cs="仿宋_GB2312"/>
          <w:i w:val="0"/>
          <w:caps w:val="0"/>
          <w:color w:val="000000" w:themeColor="text1"/>
          <w:spacing w:val="-4"/>
          <w:kern w:val="0"/>
          <w:sz w:val="32"/>
          <w:szCs w:val="32"/>
          <w:shd w:val="clear" w:color="auto" w:fill="FFFFFF"/>
          <w:lang w:val="en-US" w:eastAsia="zh-CN" w:bidi="ar"/>
          <w14:textFill>
            <w14:solidFill>
              <w14:schemeClr w14:val="tx1"/>
            </w14:solidFill>
          </w14:textFill>
        </w:rPr>
        <w:t>。</w:t>
      </w:r>
    </w:p>
    <w:p w14:paraId="43CC2595">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黑体" w:cs="Times New Roman"/>
          <w:color w:val="auto"/>
          <w:spacing w:val="-4"/>
          <w:kern w:val="0"/>
          <w:sz w:val="32"/>
          <w:szCs w:val="32"/>
          <w:shd w:val="clear" w:color="auto" w:fill="FFFFFF"/>
        </w:rPr>
      </w:pPr>
      <w:r>
        <w:rPr>
          <w:rFonts w:hint="default" w:ascii="Times New Roman" w:hAnsi="Times New Roman" w:eastAsia="黑体" w:cs="Times New Roman"/>
          <w:color w:val="auto"/>
          <w:spacing w:val="-4"/>
          <w:kern w:val="0"/>
          <w:sz w:val="32"/>
          <w:szCs w:val="32"/>
          <w:shd w:val="clear" w:color="auto" w:fill="FFFFFF"/>
          <w:lang w:val="en-US" w:eastAsia="zh-CN"/>
        </w:rPr>
        <w:t>三、</w:t>
      </w:r>
      <w:r>
        <w:rPr>
          <w:rFonts w:hint="default" w:ascii="Times New Roman" w:hAnsi="Times New Roman" w:eastAsia="黑体" w:cs="Times New Roman"/>
          <w:color w:val="auto"/>
          <w:spacing w:val="-4"/>
          <w:kern w:val="0"/>
          <w:sz w:val="32"/>
          <w:szCs w:val="32"/>
          <w:shd w:val="clear" w:color="auto" w:fill="FFFFFF"/>
        </w:rPr>
        <w:t>部门整体预算绩效管理情况</w:t>
      </w:r>
    </w:p>
    <w:p w14:paraId="54A7BF0F">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auto"/>
          <w:spacing w:val="-4"/>
          <w:kern w:val="0"/>
          <w:sz w:val="32"/>
          <w:szCs w:val="32"/>
          <w:shd w:val="clear" w:color="auto" w:fill="FFFFFF"/>
          <w:lang w:val="zh-CN"/>
        </w:rPr>
      </w:pPr>
      <w:r>
        <w:rPr>
          <w:rFonts w:hint="default" w:ascii="Times New Roman" w:hAnsi="Times New Roman" w:eastAsia="楷体_GB2312" w:cs="Times New Roman"/>
          <w:b/>
          <w:bCs/>
          <w:color w:val="auto"/>
          <w:spacing w:val="-4"/>
          <w:kern w:val="0"/>
          <w:sz w:val="32"/>
          <w:szCs w:val="32"/>
          <w:shd w:val="clear" w:color="auto" w:fill="FFFFFF"/>
          <w:lang w:val="zh-CN"/>
        </w:rPr>
        <w:t>（一）部门预算项目绩效管理</w:t>
      </w:r>
    </w:p>
    <w:p w14:paraId="2552AF2E">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jc w:val="both"/>
        <w:rPr>
          <w:rFonts w:hint="eastAsia" w:ascii="Times New Roman" w:hAnsi="Times New Roman" w:eastAsia="仿宋_GB2312" w:cs="仿宋_GB2312"/>
          <w:b w:val="0"/>
          <w:bCs/>
          <w:color w:val="auto"/>
          <w:spacing w:val="-4"/>
          <w:sz w:val="32"/>
          <w:szCs w:val="32"/>
          <w:lang w:val="en-US" w:eastAsia="zh-CN"/>
        </w:rPr>
      </w:pPr>
      <w:r>
        <w:rPr>
          <w:rFonts w:hint="default" w:ascii="Times New Roman" w:hAnsi="Times New Roman" w:eastAsia="仿宋_GB2312" w:cs="Times New Roman"/>
          <w:b/>
          <w:bCs w:val="0"/>
          <w:color w:val="auto"/>
          <w:spacing w:val="-4"/>
          <w:sz w:val="32"/>
          <w:szCs w:val="32"/>
          <w:lang w:val="en-US" w:eastAsia="zh-CN"/>
        </w:rPr>
        <w:t>1.预算概况。</w:t>
      </w:r>
      <w:r>
        <w:rPr>
          <w:rFonts w:hint="eastAsia" w:ascii="Times New Roman" w:hAnsi="Times New Roman" w:eastAsia="仿宋_GB2312" w:cs="仿宋_GB2312"/>
          <w:b w:val="0"/>
          <w:bCs/>
          <w:color w:val="auto"/>
          <w:spacing w:val="-4"/>
          <w:sz w:val="32"/>
          <w:szCs w:val="32"/>
          <w:lang w:eastAsia="zh-CN"/>
        </w:rPr>
        <w:t>202</w:t>
      </w:r>
      <w:r>
        <w:rPr>
          <w:rFonts w:hint="eastAsia" w:ascii="Times New Roman" w:hAnsi="Times New Roman" w:eastAsia="仿宋_GB2312" w:cs="仿宋_GB2312"/>
          <w:b w:val="0"/>
          <w:bCs/>
          <w:color w:val="auto"/>
          <w:spacing w:val="-4"/>
          <w:sz w:val="32"/>
          <w:szCs w:val="32"/>
          <w:lang w:val="en-US" w:eastAsia="zh-CN"/>
        </w:rPr>
        <w:t>3</w:t>
      </w:r>
      <w:r>
        <w:rPr>
          <w:rFonts w:hint="eastAsia" w:ascii="Times New Roman" w:hAnsi="Times New Roman" w:eastAsia="仿宋_GB2312" w:cs="仿宋_GB2312"/>
          <w:b w:val="0"/>
          <w:bCs/>
          <w:color w:val="auto"/>
          <w:spacing w:val="-4"/>
          <w:sz w:val="32"/>
          <w:szCs w:val="32"/>
        </w:rPr>
        <w:t>年</w:t>
      </w:r>
      <w:r>
        <w:rPr>
          <w:rFonts w:hint="eastAsia" w:ascii="Times New Roman" w:hAnsi="Times New Roman" w:eastAsia="仿宋_GB2312" w:cs="仿宋_GB2312"/>
          <w:b w:val="0"/>
          <w:bCs/>
          <w:color w:val="auto"/>
          <w:spacing w:val="-4"/>
          <w:kern w:val="2"/>
          <w:sz w:val="32"/>
          <w:szCs w:val="32"/>
          <w:lang w:val="en-US" w:eastAsia="zh-CN" w:bidi="ar-SA"/>
        </w:rPr>
        <w:t>我局</w:t>
      </w:r>
      <w:r>
        <w:rPr>
          <w:rFonts w:hint="eastAsia" w:ascii="Times New Roman" w:hAnsi="Times New Roman" w:eastAsia="仿宋_GB2312" w:cs="仿宋_GB2312"/>
          <w:b w:val="0"/>
          <w:bCs/>
          <w:color w:val="auto"/>
          <w:spacing w:val="-4"/>
          <w:sz w:val="32"/>
          <w:szCs w:val="32"/>
        </w:rPr>
        <w:t>财政拨款收</w:t>
      </w:r>
      <w:r>
        <w:rPr>
          <w:rFonts w:hint="eastAsia" w:ascii="Times New Roman" w:hAnsi="Times New Roman" w:eastAsia="仿宋_GB2312" w:cs="仿宋_GB2312"/>
          <w:b w:val="0"/>
          <w:bCs/>
          <w:color w:val="auto"/>
          <w:spacing w:val="-4"/>
          <w:sz w:val="32"/>
          <w:szCs w:val="32"/>
          <w:lang w:eastAsia="zh-CN"/>
        </w:rPr>
        <w:t>入总预算</w:t>
      </w:r>
      <w:r>
        <w:rPr>
          <w:rStyle w:val="35"/>
          <w:rFonts w:hint="eastAsia" w:ascii="Times New Roman" w:hAnsi="Times New Roman" w:eastAsia="仿宋_GB2312" w:cs="仿宋_GB2312"/>
          <w:color w:val="auto"/>
          <w:spacing w:val="-4"/>
          <w:sz w:val="32"/>
          <w:highlight w:val="none"/>
          <w:lang w:val="en-US" w:eastAsia="zh-CN"/>
        </w:rPr>
        <w:t>3052.6</w:t>
      </w:r>
      <w:r>
        <w:rPr>
          <w:rFonts w:hint="eastAsia" w:ascii="Times New Roman" w:hAnsi="Times New Roman" w:eastAsia="仿宋_GB2312" w:cs="仿宋_GB2312"/>
          <w:b w:val="0"/>
          <w:bCs/>
          <w:color w:val="auto"/>
          <w:spacing w:val="-4"/>
          <w:sz w:val="32"/>
          <w:szCs w:val="32"/>
          <w:lang w:eastAsia="zh-CN"/>
        </w:rPr>
        <w:t>万元，总支出</w:t>
      </w:r>
      <w:r>
        <w:rPr>
          <w:rStyle w:val="35"/>
          <w:rFonts w:hint="eastAsia" w:ascii="Times New Roman" w:hAnsi="Times New Roman" w:eastAsia="仿宋_GB2312" w:cs="仿宋_GB2312"/>
          <w:color w:val="auto"/>
          <w:spacing w:val="-4"/>
          <w:sz w:val="32"/>
          <w:highlight w:val="none"/>
          <w:lang w:val="en-US" w:eastAsia="zh-CN"/>
        </w:rPr>
        <w:t>3052.6</w:t>
      </w:r>
      <w:r>
        <w:rPr>
          <w:rFonts w:hint="eastAsia" w:ascii="Times New Roman" w:hAnsi="Times New Roman" w:eastAsia="仿宋_GB2312" w:cs="仿宋_GB2312"/>
          <w:b w:val="0"/>
          <w:bCs/>
          <w:color w:val="auto"/>
          <w:spacing w:val="-4"/>
          <w:sz w:val="32"/>
          <w:szCs w:val="32"/>
          <w:lang w:val="en-US" w:eastAsia="zh-CN"/>
        </w:rPr>
        <w:t>万元，</w:t>
      </w:r>
      <w:r>
        <w:rPr>
          <w:rFonts w:hint="eastAsia" w:ascii="Times New Roman" w:hAnsi="Times New Roman" w:eastAsia="仿宋_GB2312" w:cs="仿宋_GB2312"/>
          <w:b w:val="0"/>
          <w:bCs/>
          <w:color w:val="auto"/>
          <w:spacing w:val="-4"/>
          <w:sz w:val="32"/>
          <w:szCs w:val="32"/>
          <w:lang w:eastAsia="zh-CN"/>
        </w:rPr>
        <w:t>收入包括：</w:t>
      </w:r>
      <w:r>
        <w:rPr>
          <w:rFonts w:hint="eastAsia" w:ascii="Times New Roman" w:hAnsi="Times New Roman" w:eastAsia="仿宋_GB2312" w:cs="仿宋_GB2312"/>
          <w:b w:val="0"/>
          <w:bCs/>
          <w:color w:val="auto"/>
          <w:spacing w:val="-4"/>
          <w:sz w:val="32"/>
          <w:szCs w:val="32"/>
          <w:lang w:val="en-US" w:eastAsia="zh-CN"/>
        </w:rPr>
        <w:t>其中</w:t>
      </w:r>
      <w:r>
        <w:rPr>
          <w:rFonts w:hint="eastAsia" w:ascii="Times New Roman" w:hAnsi="Times New Roman" w:eastAsia="仿宋_GB2312" w:cs="仿宋_GB2312"/>
          <w:b w:val="0"/>
          <w:bCs/>
          <w:color w:val="auto"/>
          <w:spacing w:val="-4"/>
          <w:sz w:val="32"/>
          <w:szCs w:val="32"/>
          <w:lang w:eastAsia="zh-CN"/>
        </w:rPr>
        <w:t>一般公共服</w:t>
      </w:r>
      <w:r>
        <w:rPr>
          <w:rFonts w:hint="eastAsia" w:ascii="Times New Roman" w:hAnsi="Times New Roman" w:eastAsia="仿宋_GB2312" w:cs="仿宋_GB2312"/>
          <w:b w:val="0"/>
          <w:bCs/>
          <w:color w:val="auto"/>
          <w:spacing w:val="-4"/>
          <w:sz w:val="32"/>
          <w:szCs w:val="32"/>
          <w:lang w:val="en-US" w:eastAsia="zh-CN"/>
        </w:rPr>
        <w:t>务支出892.19万元，占29.23%；文化旅游体育与传媒支出43.2万元，占1.42%；社会保障和就业支出79.5万元，占2.6%；卫生健康支出19.85万元，占0.65%；住房保障支出43.35万元，占1.42%；资源勘探工业信息等支出339.47万元，占11.12%；商业服务业等支出1633.8万元，占53.52%</w:t>
      </w:r>
      <w:r>
        <w:rPr>
          <w:rFonts w:hint="eastAsia" w:ascii="Times New Roman" w:hAnsi="Times New Roman" w:eastAsia="仿宋_GB2312" w:cs="仿宋_GB2312"/>
          <w:b w:val="0"/>
          <w:bCs/>
          <w:color w:val="auto"/>
          <w:spacing w:val="-4"/>
          <w:sz w:val="32"/>
          <w:szCs w:val="32"/>
          <w:lang w:eastAsia="zh-CN"/>
        </w:rPr>
        <w:t>；金融支出</w:t>
      </w:r>
      <w:r>
        <w:rPr>
          <w:rFonts w:hint="eastAsia" w:ascii="Times New Roman" w:hAnsi="Times New Roman" w:eastAsia="仿宋_GB2312" w:cs="仿宋_GB2312"/>
          <w:b w:val="0"/>
          <w:bCs/>
          <w:color w:val="auto"/>
          <w:spacing w:val="-4"/>
          <w:sz w:val="32"/>
          <w:szCs w:val="32"/>
          <w:lang w:val="en-US" w:eastAsia="zh-CN"/>
        </w:rPr>
        <w:t>0.03万元，占0.001%；</w:t>
      </w:r>
      <w:r>
        <w:rPr>
          <w:rFonts w:hint="eastAsia" w:ascii="Times New Roman" w:hAnsi="Times New Roman" w:eastAsia="仿宋_GB2312" w:cs="仿宋_GB2312"/>
          <w:b w:val="0"/>
          <w:bCs/>
          <w:color w:val="auto"/>
          <w:spacing w:val="-4"/>
          <w:sz w:val="32"/>
          <w:szCs w:val="32"/>
          <w:lang w:eastAsia="zh-CN"/>
        </w:rPr>
        <w:t>其他支出</w:t>
      </w:r>
      <w:r>
        <w:rPr>
          <w:rFonts w:hint="eastAsia" w:ascii="Times New Roman" w:hAnsi="Times New Roman" w:eastAsia="仿宋_GB2312" w:cs="仿宋_GB2312"/>
          <w:b w:val="0"/>
          <w:bCs/>
          <w:color w:val="auto"/>
          <w:spacing w:val="-4"/>
          <w:sz w:val="32"/>
          <w:szCs w:val="32"/>
          <w:lang w:val="en-US" w:eastAsia="zh-CN"/>
        </w:rPr>
        <w:t>1.2万元，占0.04%。</w:t>
      </w:r>
    </w:p>
    <w:p w14:paraId="41CA8DAE">
      <w:pPr>
        <w:pStyle w:val="1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leftChars="0" w:firstLine="634" w:firstLineChars="200"/>
        <w:jc w:val="left"/>
        <w:textAlignment w:val="auto"/>
        <w:rPr>
          <w:rFonts w:hint="eastAsia" w:ascii="Times New Roman" w:hAnsi="Times New Roman" w:eastAsia="仿宋_GB2312" w:cs="仿宋_GB2312"/>
          <w:b w:val="0"/>
          <w:bCs/>
          <w:color w:val="5B9BD5" w:themeColor="accent1"/>
          <w:spacing w:val="-4"/>
          <w:kern w:val="2"/>
          <w:sz w:val="32"/>
          <w:szCs w:val="32"/>
          <w:lang w:val="en-US" w:eastAsia="zh-CN" w:bidi="ar-SA"/>
          <w14:textFill>
            <w14:solidFill>
              <w14:schemeClr w14:val="accent1"/>
            </w14:solidFill>
          </w14:textFill>
        </w:rPr>
      </w:pP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2.</w:t>
      </w:r>
      <w:r>
        <w:rPr>
          <w:rFonts w:hint="eastAsia" w:ascii="Times New Roman" w:hAnsi="Times New Roman" w:eastAsia="仿宋_GB2312" w:cs="仿宋_GB2312"/>
          <w:b/>
          <w:bCs w:val="0"/>
          <w:color w:val="000000" w:themeColor="text1"/>
          <w:spacing w:val="-4"/>
          <w:kern w:val="2"/>
          <w:sz w:val="32"/>
          <w:szCs w:val="32"/>
          <w:lang w:val="zh-CN" w:eastAsia="zh-CN" w:bidi="ar-SA"/>
          <w14:textFill>
            <w14:solidFill>
              <w14:schemeClr w14:val="tx1"/>
            </w14:solidFill>
          </w14:textFill>
        </w:rPr>
        <w:t>预算完成情况。</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2023年我单位根据县财政局编制要求按人员类、运转类和特定目标类项目在预算一体化系统中进行了目标编制，均于当年按计划完成；2023年纳入绩效目标管理的部门预算项目共计17个，均已按指标完成。</w:t>
      </w:r>
    </w:p>
    <w:p w14:paraId="61B54602">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b/>
          <w:bCs w:val="0"/>
          <w:color w:val="000000" w:themeColor="text1"/>
          <w:spacing w:val="-4"/>
          <w:sz w:val="32"/>
          <w:szCs w:val="32"/>
          <w:lang w:val="en-US" w:eastAsia="zh-CN"/>
          <w14:textFill>
            <w14:solidFill>
              <w14:schemeClr w14:val="tx1"/>
            </w14:solidFill>
          </w14:textFill>
        </w:rPr>
        <w:t>3.</w:t>
      </w:r>
      <w:r>
        <w:rPr>
          <w:rFonts w:hint="eastAsia" w:ascii="Times New Roman" w:hAnsi="Times New Roman" w:eastAsia="仿宋_GB2312" w:cs="仿宋_GB2312"/>
          <w:b/>
          <w:bCs w:val="0"/>
          <w:color w:val="000000" w:themeColor="text1"/>
          <w:spacing w:val="-4"/>
          <w:sz w:val="32"/>
          <w:szCs w:val="32"/>
          <w:lang w:val="zh-CN" w:eastAsia="zh-CN"/>
          <w14:textFill>
            <w14:solidFill>
              <w14:schemeClr w14:val="tx1"/>
            </w14:solidFill>
          </w14:textFill>
        </w:rPr>
        <w:t>绩效目标制定。</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绩效目标是预算编制的前提和基础，</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202</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3</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年</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我</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局</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所有项目均编制了绩效目标</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并完成了绩效目标。</w:t>
      </w:r>
    </w:p>
    <w:p w14:paraId="64AED3F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b/>
          <w:bCs w:val="0"/>
          <w:color w:val="000000" w:themeColor="text1"/>
          <w:spacing w:val="-4"/>
          <w:sz w:val="32"/>
          <w:szCs w:val="32"/>
          <w:lang w:val="en-US" w:eastAsia="zh-CN"/>
          <w14:textFill>
            <w14:solidFill>
              <w14:schemeClr w14:val="tx1"/>
            </w14:solidFill>
          </w14:textFill>
        </w:rPr>
        <w:t>4.</w:t>
      </w:r>
      <w:r>
        <w:rPr>
          <w:rFonts w:hint="eastAsia" w:ascii="Times New Roman" w:hAnsi="Times New Roman" w:eastAsia="仿宋_GB2312" w:cs="仿宋_GB2312"/>
          <w:b/>
          <w:bCs w:val="0"/>
          <w:color w:val="000000" w:themeColor="text1"/>
          <w:spacing w:val="-4"/>
          <w:sz w:val="32"/>
          <w:szCs w:val="32"/>
          <w:lang w:val="zh-CN" w:eastAsia="zh-CN"/>
          <w14:textFill>
            <w14:solidFill>
              <w14:schemeClr w14:val="tx1"/>
            </w14:solidFill>
          </w14:textFill>
        </w:rPr>
        <w:t>预算动态调整。</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2023</w:t>
      </w:r>
      <w:r>
        <w:rPr>
          <w:rFonts w:hint="eastAsia" w:ascii="Times New Roman" w:hAnsi="Times New Roman" w:eastAsia="仿宋_GB2312" w:cs="仿宋_GB2312"/>
          <w:color w:val="000000" w:themeColor="text1"/>
          <w:spacing w:val="-4"/>
          <w:kern w:val="0"/>
          <w:sz w:val="32"/>
          <w:szCs w:val="32"/>
          <w:lang w:val="en-US" w:eastAsia="zh-CN"/>
          <w14:textFill>
            <w14:solidFill>
              <w14:schemeClr w14:val="tx1"/>
            </w14:solidFill>
          </w14:textFill>
        </w:rPr>
        <w:t>年我单位调整预算基本支出涉及职工转正、连续工龄认定、职级晋升、岗位等级晋升、晋升一级主任科员、退休等需调减预算3.66万元。</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预算调整金额均按照规定及时、合规进行申报调整。</w:t>
      </w:r>
    </w:p>
    <w:p w14:paraId="59BC010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b/>
          <w:bCs w:val="0"/>
          <w:color w:val="000000" w:themeColor="text1"/>
          <w:spacing w:val="-4"/>
          <w:sz w:val="32"/>
          <w:szCs w:val="32"/>
          <w:lang w:val="en-US" w:eastAsia="zh-CN"/>
          <w14:textFill>
            <w14:solidFill>
              <w14:schemeClr w14:val="tx1"/>
            </w14:solidFill>
          </w14:textFill>
        </w:rPr>
        <w:t>5.预算</w:t>
      </w:r>
      <w:r>
        <w:rPr>
          <w:rFonts w:hint="eastAsia" w:ascii="Times New Roman" w:hAnsi="Times New Roman" w:eastAsia="仿宋_GB2312" w:cs="仿宋_GB2312"/>
          <w:b/>
          <w:bCs w:val="0"/>
          <w:color w:val="000000" w:themeColor="text1"/>
          <w:spacing w:val="-4"/>
          <w:sz w:val="32"/>
          <w:szCs w:val="32"/>
          <w:lang w:val="zh-CN" w:eastAsia="zh-CN"/>
          <w14:textFill>
            <w14:solidFill>
              <w14:schemeClr w14:val="tx1"/>
            </w14:solidFill>
          </w14:textFill>
        </w:rPr>
        <w:t>执行进度。</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2023年人员经费预算支出</w:t>
      </w:r>
      <w:r>
        <w:rPr>
          <w:rStyle w:val="35"/>
          <w:rFonts w:hint="eastAsia" w:ascii="Times New Roman" w:hAnsi="Times New Roman" w:eastAsia="仿宋_GB2312" w:cs="仿宋_GB2312"/>
          <w:color w:val="000000" w:themeColor="text1"/>
          <w:spacing w:val="-4"/>
          <w:sz w:val="32"/>
          <w:highlight w:val="none"/>
          <w:lang w:val="en-US" w:eastAsia="zh-CN"/>
          <w14:textFill>
            <w14:solidFill>
              <w14:schemeClr w14:val="tx1"/>
            </w14:solidFill>
          </w14:textFill>
        </w:rPr>
        <w:t>566.99</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万元；公用经费预算支出</w:t>
      </w:r>
      <w:r>
        <w:rPr>
          <w:rStyle w:val="35"/>
          <w:rFonts w:hint="eastAsia" w:ascii="Times New Roman" w:hAnsi="Times New Roman" w:eastAsia="仿宋_GB2312" w:cs="仿宋_GB2312"/>
          <w:color w:val="000000" w:themeColor="text1"/>
          <w:spacing w:val="-4"/>
          <w:sz w:val="32"/>
          <w:highlight w:val="none"/>
          <w:lang w:val="en-US" w:eastAsia="zh-CN"/>
          <w14:textFill>
            <w14:solidFill>
              <w14:schemeClr w14:val="tx1"/>
            </w14:solidFill>
          </w14:textFill>
        </w:rPr>
        <w:t>60.92</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万元，经费累计支付627.91万元，财政收回0万元，结余0万元，支付率100.00%；项目经费支付2424.69万元，财政收回0万元，结余0万元，支付率100.00%。</w:t>
      </w:r>
    </w:p>
    <w:p w14:paraId="36A9D6CF">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default"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pPr>
      <w:r>
        <w:rPr>
          <w:rFonts w:hint="eastAsia" w:ascii="Times New Roman" w:hAnsi="Times New Roman" w:eastAsia="仿宋_GB2312" w:cs="Times New Roman"/>
          <w:b/>
          <w:bCs w:val="0"/>
          <w:color w:val="000000" w:themeColor="text1"/>
          <w:spacing w:val="-4"/>
          <w:kern w:val="2"/>
          <w:sz w:val="32"/>
          <w:szCs w:val="32"/>
          <w:lang w:val="en-US" w:eastAsia="zh-CN" w:bidi="ar-SA"/>
          <w14:textFill>
            <w14:solidFill>
              <w14:schemeClr w14:val="tx1"/>
            </w14:solidFill>
          </w14:textFill>
        </w:rPr>
        <w:t>6</w:t>
      </w:r>
      <w:r>
        <w:rPr>
          <w:rFonts w:hint="default" w:ascii="Times New Roman" w:hAnsi="Times New Roman" w:eastAsia="仿宋_GB2312" w:cs="Times New Roman"/>
          <w:b/>
          <w:bCs w:val="0"/>
          <w:color w:val="000000" w:themeColor="text1"/>
          <w:spacing w:val="-4"/>
          <w:kern w:val="2"/>
          <w:sz w:val="32"/>
          <w:szCs w:val="32"/>
          <w:lang w:val="en-US" w:eastAsia="zh-CN" w:bidi="ar-SA"/>
          <w14:textFill>
            <w14:solidFill>
              <w14:schemeClr w14:val="tx1"/>
            </w14:solidFill>
          </w14:textFill>
        </w:rPr>
        <w:t>.</w:t>
      </w:r>
      <w:r>
        <w:rPr>
          <w:rFonts w:hint="default" w:ascii="Times New Roman" w:hAnsi="Times New Roman" w:eastAsia="仿宋_GB2312" w:cs="Times New Roman"/>
          <w:b/>
          <w:bCs w:val="0"/>
          <w:color w:val="000000" w:themeColor="text1"/>
          <w:spacing w:val="-4"/>
          <w:kern w:val="2"/>
          <w:sz w:val="32"/>
          <w:szCs w:val="32"/>
          <w:lang w:val="zh-CN" w:eastAsia="zh-CN" w:bidi="ar-SA"/>
          <w14:textFill>
            <w14:solidFill>
              <w14:schemeClr w14:val="tx1"/>
            </w14:solidFill>
          </w14:textFill>
        </w:rPr>
        <w:t>违规记录情况。</w:t>
      </w:r>
      <w:r>
        <w:rPr>
          <w:rFonts w:hint="default"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t>无</w:t>
      </w:r>
      <w:r>
        <w:rPr>
          <w:rFonts w:hint="eastAsia"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t>。</w:t>
      </w:r>
    </w:p>
    <w:p w14:paraId="60717429">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w:t>
      </w:r>
      <w:r>
        <w:rPr>
          <w:rFonts w:hint="default" w:ascii="Times New Roman" w:hAnsi="Times New Roman" w:eastAsia="楷体_GB2312" w:cs="Times New Roman"/>
          <w:b/>
          <w:bCs/>
          <w:color w:val="000000" w:themeColor="text1"/>
          <w:spacing w:val="-4"/>
          <w:kern w:val="0"/>
          <w:sz w:val="32"/>
          <w:szCs w:val="32"/>
          <w:shd w:val="clear" w:color="auto" w:fill="FFFFFF"/>
          <w:lang w:val="en-US" w:eastAsia="zh-CN"/>
          <w14:textFill>
            <w14:solidFill>
              <w14:schemeClr w14:val="tx1"/>
            </w14:solidFill>
          </w14:textFill>
        </w:rPr>
        <w:t>二</w:t>
      </w: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）结果应用情况</w:t>
      </w:r>
    </w:p>
    <w:p w14:paraId="178FEC4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大英县商务和经济合作局履行职责职能，严格按财经法规及制度使用、管理资金，成效明显，主要体现在以下几个方面：</w:t>
      </w:r>
    </w:p>
    <w:p w14:paraId="22563DBB">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90" w:lineRule="exact"/>
        <w:ind w:left="0" w:leftChars="0" w:right="0" w:firstLine="634" w:firstLineChars="200"/>
        <w:jc w:val="left"/>
        <w:textAlignment w:val="auto"/>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pP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1.内部应用。一是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保障了职工工资、津补贴和追加工资的及时足额发放，没有出现拖欠职工工资等现象；</w:t>
      </w: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二是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保障了各项工作的正常运转，资金支付正常；</w:t>
      </w: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三是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资金使用无虚列支出及随意使用现象，无现金支付现象。</w:t>
      </w:r>
    </w:p>
    <w:p w14:paraId="1B48B521">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jc w:val="both"/>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pP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2.自评公开。</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20</w:t>
      </w: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23</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年</w:t>
      </w:r>
      <w:r>
        <w:rPr>
          <w:rFonts w:hint="eastAsia" w:ascii="Times New Roman" w:hAnsi="Times New Roman" w:eastAsia="仿宋_GB2312" w:cs="仿宋_GB2312"/>
          <w:color w:val="000000" w:themeColor="text1"/>
          <w:spacing w:val="-4"/>
          <w:sz w:val="32"/>
          <w:szCs w:val="32"/>
          <w14:textFill>
            <w14:solidFill>
              <w14:schemeClr w14:val="tx1"/>
            </w14:solidFill>
          </w14:textFill>
        </w:rPr>
        <w:t>大英县商务和经济合作局</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所有项目均编制了绩效目标</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并</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按规定在大英门户网站公开了《大英县</w:t>
      </w:r>
      <w:r>
        <w:rPr>
          <w:rFonts w:hint="eastAsia" w:ascii="Times New Roman" w:hAnsi="Times New Roman" w:eastAsia="仿宋_GB2312" w:cs="仿宋_GB2312"/>
          <w:color w:val="000000" w:themeColor="text1"/>
          <w:spacing w:val="-4"/>
          <w:sz w:val="32"/>
          <w:szCs w:val="32"/>
          <w14:textFill>
            <w14:solidFill>
              <w14:schemeClr w14:val="tx1"/>
            </w14:solidFill>
          </w14:textFill>
        </w:rPr>
        <w:t>商务和经济合作局</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20</w:t>
      </w: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23</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年预算编制说明》和《大英商务和经济合作局20</w:t>
      </w: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23</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年部门决算编制说明》，做到了</w:t>
      </w: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部门</w:t>
      </w:r>
      <w:r>
        <w:rPr>
          <w:rFonts w:hint="eastAsia" w:ascii="Times New Roman" w:hAnsi="Times New Roman" w:eastAsia="仿宋_GB2312" w:cs="仿宋_GB2312"/>
          <w:color w:val="000000" w:themeColor="text1"/>
          <w:spacing w:val="-4"/>
          <w:kern w:val="0"/>
          <w:sz w:val="32"/>
          <w:szCs w:val="32"/>
          <w:shd w:val="clear" w:color="auto" w:fill="FFFFFF"/>
          <w14:textFill>
            <w14:solidFill>
              <w14:schemeClr w14:val="tx1"/>
            </w14:solidFill>
          </w14:textFill>
        </w:rPr>
        <w:t>支出公开透明</w:t>
      </w:r>
      <w:r>
        <w:rPr>
          <w:rFonts w:hint="eastAsia" w:ascii="Times New Roman" w:hAnsi="Times New Roman" w:eastAsia="仿宋_GB2312" w:cs="仿宋_GB2312"/>
          <w:color w:val="000000" w:themeColor="text1"/>
          <w:spacing w:val="-4"/>
          <w:sz w:val="32"/>
          <w:szCs w:val="32"/>
          <w14:textFill>
            <w14:solidFill>
              <w14:schemeClr w14:val="tx1"/>
            </w14:solidFill>
          </w14:textFill>
        </w:rPr>
        <w:t>。</w:t>
      </w:r>
    </w:p>
    <w:p w14:paraId="32E783BC">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rPr>
          <w:rFonts w:hint="eastAsia" w:ascii="Times New Roman" w:hAnsi="Times New Roman" w:eastAsia="仿宋_GB2312" w:cs="仿宋_GB2312"/>
          <w:color w:val="000000" w:themeColor="text1"/>
          <w:spacing w:val="-4"/>
          <w:sz w:val="32"/>
          <w:szCs w:val="32"/>
          <w14:textFill>
            <w14:solidFill>
              <w14:schemeClr w14:val="tx1"/>
            </w14:solidFill>
          </w14:textFill>
        </w:rPr>
      </w:pP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3.问题整改。一是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关于评价结果应用意识淡薄，预算执行进度不够理想的问题。加强了对各项目股室的预算绩效应用培训，增强了应用意识。</w:t>
      </w: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二是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关于项目全程跟踪管理有待完善问题。在申报2023年项目绩效目标时，做到了主动对接第三方跟踪评价，将目标指标设置更细化，更合</w:t>
      </w:r>
      <w:r>
        <w:rPr>
          <w:rFonts w:hint="eastAsia" w:ascii="Times New Roman" w:hAnsi="Times New Roman" w:eastAsia="仿宋_GB2312" w:cs="仿宋_GB2312"/>
          <w:color w:val="000000" w:themeColor="text1"/>
          <w:spacing w:val="-4"/>
          <w:sz w:val="32"/>
          <w:szCs w:val="32"/>
          <w14:textFill>
            <w14:solidFill>
              <w14:schemeClr w14:val="tx1"/>
            </w14:solidFill>
          </w14:textFill>
        </w:rPr>
        <w:t>理。</w:t>
      </w:r>
    </w:p>
    <w:p w14:paraId="110630B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firstLine="634" w:firstLineChars="200"/>
        <w:rPr>
          <w:rFonts w:hint="default"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pP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4.应用反馈。一是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建立项目预期绩效目标申报制度；</w:t>
      </w:r>
      <w:r>
        <w:rPr>
          <w:rFonts w:hint="eastAsia" w:ascii="Times New Roman" w:hAnsi="Times New Roman" w:eastAsia="仿宋_GB2312" w:cs="仿宋_GB2312"/>
          <w:b/>
          <w:bCs w:val="0"/>
          <w:color w:val="000000" w:themeColor="text1"/>
          <w:spacing w:val="-4"/>
          <w:kern w:val="2"/>
          <w:sz w:val="32"/>
          <w:szCs w:val="32"/>
          <w:lang w:val="en-US" w:eastAsia="zh-CN" w:bidi="ar-SA"/>
          <w14:textFill>
            <w14:solidFill>
              <w14:schemeClr w14:val="tx1"/>
            </w14:solidFill>
          </w14:textFill>
        </w:rPr>
        <w:t>二是</w:t>
      </w: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建立评价结果在部门预算安排执行中的激励与</w:t>
      </w:r>
      <w:bookmarkStart w:id="0" w:name="_GoBack"/>
      <w:bookmarkEnd w:id="0"/>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约束机制。</w:t>
      </w:r>
    </w:p>
    <w:p w14:paraId="6C8E544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w:t>
      </w:r>
      <w:r>
        <w:rPr>
          <w:rFonts w:hint="default" w:ascii="Times New Roman" w:hAnsi="Times New Roman" w:eastAsia="楷体_GB2312" w:cs="Times New Roman"/>
          <w:b/>
          <w:bCs/>
          <w:color w:val="000000" w:themeColor="text1"/>
          <w:spacing w:val="-4"/>
          <w:kern w:val="0"/>
          <w:sz w:val="32"/>
          <w:szCs w:val="32"/>
          <w:shd w:val="clear" w:color="auto" w:fill="FFFFFF"/>
          <w:lang w:val="en-US" w:eastAsia="zh-CN"/>
          <w14:textFill>
            <w14:solidFill>
              <w14:schemeClr w14:val="tx1"/>
            </w14:solidFill>
          </w14:textFill>
        </w:rPr>
        <w:t>三）</w:t>
      </w: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自评质量</w:t>
      </w:r>
    </w:p>
    <w:p w14:paraId="63E46CA7">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b w:val="0"/>
          <w:bCs w:val="0"/>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pacing w:val="-4"/>
          <w:sz w:val="32"/>
          <w:szCs w:val="32"/>
          <w:lang w:val="en-US" w:eastAsia="zh-CN"/>
          <w14:textFill>
            <w14:solidFill>
              <w14:schemeClr w14:val="tx1"/>
            </w14:solidFill>
          </w14:textFill>
        </w:rPr>
        <w:t>结合我局实际情况，填写基础数据表，根据《2024年县级部门整体支出绩效评价指标体系》评分，综合得分82分。</w:t>
      </w:r>
    </w:p>
    <w:p w14:paraId="770BC21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黑体" w:cs="Times New Roman"/>
          <w:b w:val="0"/>
          <w:bCs w:val="0"/>
          <w:color w:val="000000" w:themeColor="text1"/>
          <w:spacing w:val="-4"/>
          <w:kern w:val="0"/>
          <w:sz w:val="32"/>
          <w:szCs w:val="32"/>
          <w:shd w:val="clear" w:color="auto" w:fill="FFFFFF"/>
          <w14:textFill>
            <w14:solidFill>
              <w14:schemeClr w14:val="tx1"/>
            </w14:solidFill>
          </w14:textFill>
        </w:rPr>
      </w:pPr>
      <w:r>
        <w:rPr>
          <w:rFonts w:hint="default" w:ascii="Times New Roman" w:hAnsi="Times New Roman" w:eastAsia="黑体" w:cs="Times New Roman"/>
          <w:b w:val="0"/>
          <w:bCs w:val="0"/>
          <w:color w:val="000000" w:themeColor="text1"/>
          <w:spacing w:val="-4"/>
          <w:kern w:val="0"/>
          <w:sz w:val="32"/>
          <w:szCs w:val="32"/>
          <w:shd w:val="clear" w:color="auto" w:fill="FFFFFF"/>
          <w14:textFill>
            <w14:solidFill>
              <w14:schemeClr w14:val="tx1"/>
            </w14:solidFill>
          </w14:textFill>
        </w:rPr>
        <w:t>四、评价结论及建议</w:t>
      </w:r>
    </w:p>
    <w:p w14:paraId="69F6DAA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（一）评价结论</w:t>
      </w:r>
    </w:p>
    <w:p w14:paraId="795019EC">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default" w:ascii="Times New Roman" w:hAnsi="Times New Roman" w:eastAsia="仿宋_GB2312" w:cs="Times New Roman"/>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2023年大英县商务和经济合作局部门预算执行进度良好，</w:t>
      </w:r>
      <w:r>
        <w:rPr>
          <w:rFonts w:hint="eastAsia" w:ascii="Times New Roman" w:hAnsi="Times New Roman" w:eastAsia="仿宋_GB2312" w:cs="仿宋_GB2312"/>
          <w:color w:val="000000" w:themeColor="text1"/>
          <w:spacing w:val="-4"/>
          <w:sz w:val="32"/>
          <w:szCs w:val="32"/>
          <w14:textFill>
            <w14:solidFill>
              <w14:schemeClr w14:val="tx1"/>
            </w14:solidFill>
          </w14:textFill>
        </w:rPr>
        <w:t>通过加强组织领导和统筹协调，完善绩效评价指标体系，落实主体责任，强化运行跟踪监控管理，保障了政府职能各项目标任务顺利完成</w:t>
      </w:r>
      <w:r>
        <w:rPr>
          <w:rFonts w:hint="eastAsia" w:ascii="Times New Roman" w:hAnsi="Times New Roman" w:eastAsia="仿宋_GB2312" w:cs="仿宋_GB2312"/>
          <w:color w:val="000000" w:themeColor="text1"/>
          <w:spacing w:val="-4"/>
          <w:sz w:val="32"/>
          <w:szCs w:val="32"/>
          <w:lang w:eastAsia="zh-CN"/>
          <w14:textFill>
            <w14:solidFill>
              <w14:schemeClr w14:val="tx1"/>
            </w14:solidFill>
          </w14:textFill>
        </w:rPr>
        <w:t>。</w:t>
      </w:r>
    </w:p>
    <w:p w14:paraId="3BB1E458">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（二）存在问题</w:t>
      </w:r>
    </w:p>
    <w:p w14:paraId="78E925A0">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1.预算编制项目有待细化。我局预算编制不够明确和细化，预算编制的合理性及执行力有待进一步提高，维持预算的严肃性和</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权威性有待进一步加强。</w:t>
      </w:r>
    </w:p>
    <w:p w14:paraId="56C011AA">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2.对于项目绩效目标设定需要分股室进行分解，汇总后制定整体目标，目前各项目股室还不能科学的设定考核评价标准，特别是不能量化的目标如何进行评价。</w:t>
      </w:r>
    </w:p>
    <w:p w14:paraId="5AB65C00">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3.内部绩效结果与预算脱钩。我局未建立对内设机构和单位预算与绩效挂钩机制，绩效考核指标有待标准化，缺乏完善的绩效评价体系。</w:t>
      </w:r>
    </w:p>
    <w:p w14:paraId="7D5CF2F2">
      <w:pPr>
        <w:pStyle w:val="2"/>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textAlignment w:val="auto"/>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4.在财务管理方面，会计核算还不够细致，对于有些能够细分的工作，未能详细分类核算，绩效目标表填制数据不够精准。</w:t>
      </w:r>
    </w:p>
    <w:p w14:paraId="23BAB6EA">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default" w:ascii="Times New Roman" w:hAnsi="Times New Roman" w:eastAsia="楷体_GB2312" w:cs="Times New Roman"/>
          <w:b/>
          <w:bCs/>
          <w:color w:val="000000" w:themeColor="text1"/>
          <w:spacing w:val="-4"/>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pacing w:val="-4"/>
          <w:kern w:val="0"/>
          <w:sz w:val="32"/>
          <w:szCs w:val="32"/>
          <w:shd w:val="clear" w:color="auto" w:fill="FFFFFF"/>
          <w:lang w:val="zh-CN"/>
          <w14:textFill>
            <w14:solidFill>
              <w14:schemeClr w14:val="tx1"/>
            </w14:solidFill>
          </w14:textFill>
        </w:rPr>
        <w:t>（三）改进建议</w:t>
      </w:r>
    </w:p>
    <w:p w14:paraId="37FA86A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pP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1.全面实施全面绩效评价体系，提升我局财务管理绩效。全面实施以绩效导向的全面预算评价体系，制定科学、完善、切合实际的考核项目和标准，强化对预算管理全过程的资金使用实施考核、评价，通过绩效评价反映各项目预算执行情况、及时掌握资金使用情况，使各项经济活动实现信息共享、资源共享，提高资金使用率。</w:t>
      </w:r>
    </w:p>
    <w:p w14:paraId="035F0A86">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pP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2.强化预算绩效管理意识。加强对各股室的业务培训和指导，完善绩效评价指标的准确性和适用性，提高业务股室参与绩效评价工作的积极性和主动性，明确部门职责，提高工作效率。</w:t>
      </w:r>
    </w:p>
    <w:p w14:paraId="58BB2C19">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contextualSpacing/>
        <w:jc w:val="left"/>
        <w:textAlignment w:val="auto"/>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pPr>
      <w:r>
        <w:rPr>
          <w:rFonts w:hint="eastAsia" w:ascii="Times New Roman" w:hAnsi="Times New Roman" w:eastAsia="仿宋_GB2312" w:cs="仿宋_GB2312"/>
          <w:color w:val="000000" w:themeColor="text1"/>
          <w:spacing w:val="-4"/>
          <w:kern w:val="0"/>
          <w:sz w:val="32"/>
          <w:szCs w:val="32"/>
          <w:shd w:val="clear" w:color="auto" w:fill="FFFFFF"/>
          <w:lang w:val="en-US" w:eastAsia="zh-CN"/>
          <w14:textFill>
            <w14:solidFill>
              <w14:schemeClr w14:val="tx1"/>
            </w14:solidFill>
          </w14:textFill>
        </w:rPr>
        <w:t>3.加强结果运用。进一步加强绩效评价与预算资金安排挂钩，对绩效好的业务股室的项目原则上优先保障，对绩效一般的业务股室的项目要督促改进，对绩效较差的业务股室的项目资金要压减，加强专项资金整合力度，提高资金使用效益。</w:t>
      </w:r>
    </w:p>
    <w:p w14:paraId="05D9847B">
      <w:pPr>
        <w:pStyle w:val="13"/>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jc w:val="both"/>
        <w:textAlignment w:val="auto"/>
        <w:rPr>
          <w:rFonts w:hint="default" w:ascii="Times New Roman" w:hAnsi="Times New Roman" w:eastAsia="仿宋_GB2312" w:cs="Times New Roman"/>
          <w:color w:val="000000" w:themeColor="text1"/>
          <w:spacing w:val="-4"/>
          <w:kern w:val="2"/>
          <w:sz w:val="32"/>
          <w:szCs w:val="32"/>
          <w:lang w:val="en-US" w:eastAsia="zh-CN" w:bidi="ar-SA"/>
          <w14:textFill>
            <w14:solidFill>
              <w14:schemeClr w14:val="tx1"/>
            </w14:solidFill>
          </w14:textFill>
        </w:rPr>
      </w:pPr>
      <w:r>
        <w:rPr>
          <w:rFonts w:hint="eastAsia" w:ascii="Times New Roman" w:hAnsi="Times New Roman" w:eastAsia="仿宋_GB2312" w:cs="仿宋_GB2312"/>
          <w:b w:val="0"/>
          <w:bCs/>
          <w:color w:val="000000" w:themeColor="text1"/>
          <w:spacing w:val="-4"/>
          <w:kern w:val="2"/>
          <w:sz w:val="32"/>
          <w:szCs w:val="32"/>
          <w:lang w:val="en-US" w:eastAsia="zh-CN" w:bidi="ar-SA"/>
          <w14:textFill>
            <w14:solidFill>
              <w14:schemeClr w14:val="tx1"/>
            </w14:solidFill>
          </w14:textFill>
        </w:rPr>
        <w:t>4.细化财务会计核算，为本单位各项工作的开展、总结、评估提供有效数据资料支撑，为各项业务工作更好的开展提供帮助。</w:t>
      </w:r>
    </w:p>
    <w:p w14:paraId="01FF74B1">
      <w:pPr>
        <w:pStyle w:val="13"/>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jc w:val="both"/>
        <w:textAlignment w:val="auto"/>
        <w:rPr>
          <w:rFonts w:hint="default" w:ascii="Times New Roman" w:hAnsi="Times New Roman" w:eastAsia="仿宋_GB2312" w:cs="Times New Roman"/>
          <w:color w:val="000000" w:themeColor="text1"/>
          <w:spacing w:val="-4"/>
          <w:kern w:val="2"/>
          <w:sz w:val="32"/>
          <w:szCs w:val="32"/>
          <w:lang w:val="en-US" w:eastAsia="zh-CN" w:bidi="ar-SA"/>
          <w14:textFill>
            <w14:solidFill>
              <w14:schemeClr w14:val="tx1"/>
            </w14:solidFill>
          </w14:textFill>
        </w:rPr>
      </w:pPr>
    </w:p>
    <w:p w14:paraId="3790007D">
      <w:pPr>
        <w:keepNext w:val="0"/>
        <w:keepLines w:val="0"/>
        <w:pageBreakBefore w:val="0"/>
        <w:widowControl w:val="0"/>
        <w:suppressLineNumbers w:val="0"/>
        <w:kinsoku/>
        <w:wordWrap/>
        <w:overflowPunct/>
        <w:topLinePunct w:val="0"/>
        <w:autoSpaceDE/>
        <w:autoSpaceDN/>
        <w:bidi w:val="0"/>
        <w:adjustRightInd/>
        <w:snapToGrid/>
        <w:spacing w:line="590" w:lineRule="exact"/>
        <w:ind w:left="0" w:leftChars="0" w:firstLine="634" w:firstLineChars="200"/>
        <w:jc w:val="left"/>
        <w:rPr>
          <w:rFonts w:hint="default" w:ascii="Times New Roman" w:hAnsi="Times New Roman" w:eastAsia="仿宋_GB2312" w:cs="Times New Roman"/>
          <w:color w:val="000000" w:themeColor="text1"/>
          <w:spacing w:val="-4"/>
          <w:sz w:val="32"/>
          <w:szCs w:val="32"/>
          <w:highlight w:val="none"/>
          <w:lang w:val="en-US" w:eastAsia="zh-CN"/>
          <w14:textFill>
            <w14:solidFill>
              <w14:schemeClr w14:val="tx1"/>
            </w14:solidFill>
          </w14:textFill>
        </w:rPr>
      </w:pPr>
      <w:r>
        <w:rPr>
          <w:rFonts w:hint="default"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t>附件：202</w:t>
      </w:r>
      <w:r>
        <w:rPr>
          <w:rFonts w:hint="eastAsia"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t>4</w:t>
      </w:r>
      <w:r>
        <w:rPr>
          <w:rFonts w:hint="default" w:ascii="Times New Roman" w:hAnsi="Times New Roman" w:eastAsia="仿宋_GB2312" w:cs="Times New Roman"/>
          <w:b w:val="0"/>
          <w:bCs/>
          <w:color w:val="000000" w:themeColor="text1"/>
          <w:spacing w:val="-4"/>
          <w:kern w:val="2"/>
          <w:sz w:val="32"/>
          <w:szCs w:val="32"/>
          <w:lang w:val="en-US" w:eastAsia="zh-CN" w:bidi="ar-SA"/>
          <w14:textFill>
            <w14:solidFill>
              <w14:schemeClr w14:val="tx1"/>
            </w14:solidFill>
          </w14:textFill>
        </w:rPr>
        <w:t>年县级部门整体支出绩效评价指标体系</w:t>
      </w:r>
    </w:p>
    <w:p w14:paraId="00C9FDEE">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34" w:firstLineChars="200"/>
        <w:jc w:val="both"/>
        <w:textAlignment w:val="auto"/>
        <w:rPr>
          <w:rFonts w:hint="default" w:ascii="Times New Roman" w:hAnsi="Times New Roman" w:eastAsia="仿宋_GB2312" w:cs="Times New Roman"/>
          <w:color w:val="auto"/>
          <w:spacing w:val="-4"/>
          <w:kern w:val="2"/>
          <w:sz w:val="32"/>
          <w:szCs w:val="32"/>
          <w:highlight w:val="none"/>
          <w:lang w:val="en-US" w:eastAsia="zh-CN" w:bidi="ar-SA"/>
        </w:rPr>
      </w:pPr>
    </w:p>
    <w:p w14:paraId="2DA6CCBB">
      <w:pPr>
        <w:pStyle w:val="13"/>
        <w:keepNext w:val="0"/>
        <w:keepLines w:val="0"/>
        <w:pageBreakBefore w:val="0"/>
        <w:widowControl w:val="0"/>
        <w:kinsoku/>
        <w:wordWrap/>
        <w:overflowPunct/>
        <w:topLinePunct w:val="0"/>
        <w:autoSpaceDE/>
        <w:autoSpaceDN/>
        <w:bidi w:val="0"/>
        <w:adjustRightInd/>
        <w:snapToGrid/>
        <w:spacing w:line="590" w:lineRule="exact"/>
        <w:ind w:left="0" w:leftChars="0" w:right="0" w:firstLine="634" w:firstLineChars="200"/>
        <w:jc w:val="center"/>
        <w:textAlignment w:val="auto"/>
        <w:rPr>
          <w:rFonts w:hint="default" w:ascii="Times New Roman" w:hAnsi="Times New Roman" w:eastAsia="仿宋_GB2312" w:cs="Times New Roman"/>
          <w:color w:val="auto"/>
          <w:spacing w:val="-4"/>
          <w:kern w:val="2"/>
          <w:sz w:val="32"/>
          <w:szCs w:val="32"/>
          <w:highlight w:val="none"/>
          <w:lang w:val="en-US" w:eastAsia="zh-CN" w:bidi="ar-SA"/>
        </w:rPr>
      </w:pPr>
    </w:p>
    <w:p w14:paraId="3CED3909">
      <w:pPr>
        <w:pStyle w:val="13"/>
        <w:keepNext w:val="0"/>
        <w:keepLines w:val="0"/>
        <w:pageBreakBefore w:val="0"/>
        <w:widowControl w:val="0"/>
        <w:kinsoku/>
        <w:wordWrap/>
        <w:overflowPunct/>
        <w:topLinePunct w:val="0"/>
        <w:autoSpaceDE/>
        <w:autoSpaceDN/>
        <w:bidi w:val="0"/>
        <w:adjustRightInd/>
        <w:snapToGrid/>
        <w:spacing w:line="590" w:lineRule="exact"/>
        <w:ind w:left="0" w:leftChars="0" w:right="0" w:firstLine="634" w:firstLineChars="200"/>
        <w:jc w:val="center"/>
        <w:textAlignment w:val="auto"/>
        <w:rPr>
          <w:rFonts w:hint="default" w:ascii="Times New Roman" w:hAnsi="Times New Roman" w:eastAsia="仿宋_GB2312" w:cs="Times New Roman"/>
          <w:color w:val="auto"/>
          <w:spacing w:val="-4"/>
          <w:kern w:val="2"/>
          <w:sz w:val="32"/>
          <w:szCs w:val="32"/>
          <w:highlight w:val="none"/>
          <w:lang w:val="en-US" w:eastAsia="zh-CN" w:bidi="ar-SA"/>
        </w:rPr>
      </w:pPr>
    </w:p>
    <w:p w14:paraId="2CF155AF">
      <w:pPr>
        <w:pStyle w:val="13"/>
        <w:keepNext w:val="0"/>
        <w:keepLines w:val="0"/>
        <w:pageBreakBefore w:val="0"/>
        <w:widowControl w:val="0"/>
        <w:kinsoku/>
        <w:wordWrap w:val="0"/>
        <w:overflowPunct/>
        <w:topLinePunct w:val="0"/>
        <w:autoSpaceDE/>
        <w:autoSpaceDN/>
        <w:bidi w:val="0"/>
        <w:adjustRightInd/>
        <w:snapToGrid/>
        <w:spacing w:line="590" w:lineRule="exact"/>
        <w:ind w:left="0" w:leftChars="0" w:right="0" w:firstLine="634" w:firstLineChars="200"/>
        <w:jc w:val="right"/>
        <w:textAlignment w:val="auto"/>
        <w:rPr>
          <w:rFonts w:hint="default" w:ascii="Times New Roman" w:hAnsi="Times New Roman" w:eastAsia="仿宋_GB2312" w:cs="Times New Roman"/>
          <w:color w:val="auto"/>
          <w:spacing w:val="-4"/>
          <w:kern w:val="2"/>
          <w:sz w:val="32"/>
          <w:szCs w:val="32"/>
          <w:highlight w:val="none"/>
          <w:lang w:val="en-US" w:eastAsia="zh-CN" w:bidi="ar-SA"/>
        </w:rPr>
      </w:pPr>
      <w:r>
        <w:rPr>
          <w:rFonts w:hint="default" w:ascii="Times New Roman" w:hAnsi="Times New Roman" w:eastAsia="仿宋_GB2312" w:cs="Times New Roman"/>
          <w:color w:val="auto"/>
          <w:spacing w:val="-4"/>
          <w:kern w:val="2"/>
          <w:sz w:val="32"/>
          <w:szCs w:val="32"/>
          <w:highlight w:val="none"/>
          <w:lang w:val="en-US" w:eastAsia="zh-CN" w:bidi="ar-SA"/>
        </w:rPr>
        <w:t xml:space="preserve">             大英县商务和经济合作局</w:t>
      </w:r>
      <w:r>
        <w:rPr>
          <w:rFonts w:hint="eastAsia" w:ascii="Times New Roman" w:hAnsi="Times New Roman" w:eastAsia="仿宋_GB2312" w:cs="Times New Roman"/>
          <w:color w:val="auto"/>
          <w:spacing w:val="-4"/>
          <w:kern w:val="2"/>
          <w:sz w:val="32"/>
          <w:szCs w:val="32"/>
          <w:highlight w:val="none"/>
          <w:lang w:val="en-US" w:eastAsia="zh-CN" w:bidi="ar-SA"/>
        </w:rPr>
        <w:t xml:space="preserve">    </w:t>
      </w:r>
    </w:p>
    <w:p w14:paraId="0458E050">
      <w:pPr>
        <w:pStyle w:val="13"/>
        <w:keepNext w:val="0"/>
        <w:keepLines w:val="0"/>
        <w:pageBreakBefore w:val="0"/>
        <w:widowControl w:val="0"/>
        <w:kinsoku/>
        <w:wordWrap w:val="0"/>
        <w:overflowPunct/>
        <w:topLinePunct w:val="0"/>
        <w:autoSpaceDE/>
        <w:autoSpaceDN/>
        <w:bidi w:val="0"/>
        <w:adjustRightInd/>
        <w:snapToGrid/>
        <w:spacing w:line="590" w:lineRule="exact"/>
        <w:ind w:left="0" w:leftChars="0" w:right="0" w:firstLine="634" w:firstLineChars="200"/>
        <w:jc w:val="right"/>
        <w:textAlignment w:val="auto"/>
        <w:rPr>
          <w:rFonts w:hint="default" w:ascii="Times New Roman" w:hAnsi="Times New Roman" w:eastAsia="仿宋_GB2312" w:cs="Times New Roman"/>
          <w:color w:val="auto"/>
          <w:spacing w:val="-4"/>
          <w:kern w:val="2"/>
          <w:sz w:val="32"/>
          <w:szCs w:val="32"/>
          <w:highlight w:val="none"/>
          <w:lang w:val="en-US" w:eastAsia="zh-CN" w:bidi="ar-SA"/>
        </w:rPr>
      </w:pPr>
      <w:r>
        <w:rPr>
          <w:rFonts w:hint="default" w:ascii="Times New Roman" w:hAnsi="Times New Roman" w:eastAsia="仿宋_GB2312" w:cs="Times New Roman"/>
          <w:color w:val="auto"/>
          <w:spacing w:val="-4"/>
          <w:kern w:val="2"/>
          <w:sz w:val="32"/>
          <w:szCs w:val="32"/>
          <w:highlight w:val="none"/>
          <w:lang w:val="en-US" w:eastAsia="zh-CN" w:bidi="ar-SA"/>
        </w:rPr>
        <w:t xml:space="preserve">              2024年</w:t>
      </w:r>
      <w:r>
        <w:rPr>
          <w:rFonts w:hint="eastAsia" w:ascii="Times New Roman" w:hAnsi="Times New Roman" w:eastAsia="仿宋_GB2312" w:cs="Times New Roman"/>
          <w:color w:val="auto"/>
          <w:spacing w:val="-4"/>
          <w:kern w:val="2"/>
          <w:sz w:val="32"/>
          <w:szCs w:val="32"/>
          <w:highlight w:val="none"/>
          <w:lang w:val="en-US" w:eastAsia="zh-CN" w:bidi="ar-SA"/>
        </w:rPr>
        <w:t>5</w:t>
      </w:r>
      <w:r>
        <w:rPr>
          <w:rFonts w:hint="default" w:ascii="Times New Roman" w:hAnsi="Times New Roman" w:eastAsia="仿宋_GB2312" w:cs="Times New Roman"/>
          <w:color w:val="auto"/>
          <w:spacing w:val="-4"/>
          <w:kern w:val="2"/>
          <w:sz w:val="32"/>
          <w:szCs w:val="32"/>
          <w:highlight w:val="none"/>
          <w:lang w:val="en-US" w:eastAsia="zh-CN" w:bidi="ar-SA"/>
        </w:rPr>
        <w:t>月</w:t>
      </w:r>
      <w:r>
        <w:rPr>
          <w:rFonts w:hint="eastAsia" w:ascii="Times New Roman" w:hAnsi="Times New Roman" w:eastAsia="仿宋_GB2312" w:cs="Times New Roman"/>
          <w:color w:val="auto"/>
          <w:spacing w:val="-4"/>
          <w:kern w:val="2"/>
          <w:sz w:val="32"/>
          <w:szCs w:val="32"/>
          <w:highlight w:val="none"/>
          <w:lang w:val="en-US" w:eastAsia="zh-CN" w:bidi="ar-SA"/>
        </w:rPr>
        <w:t>6</w:t>
      </w:r>
      <w:r>
        <w:rPr>
          <w:rFonts w:hint="default" w:ascii="Times New Roman" w:hAnsi="Times New Roman" w:eastAsia="仿宋_GB2312" w:cs="Times New Roman"/>
          <w:color w:val="auto"/>
          <w:spacing w:val="-4"/>
          <w:kern w:val="2"/>
          <w:sz w:val="32"/>
          <w:szCs w:val="32"/>
          <w:highlight w:val="none"/>
          <w:lang w:val="en-US" w:eastAsia="zh-CN" w:bidi="ar-SA"/>
        </w:rPr>
        <w:t>日</w:t>
      </w:r>
      <w:r>
        <w:rPr>
          <w:rFonts w:hint="eastAsia" w:ascii="Times New Roman" w:hAnsi="Times New Roman" w:eastAsia="仿宋_GB2312" w:cs="Times New Roman"/>
          <w:color w:val="auto"/>
          <w:spacing w:val="-4"/>
          <w:kern w:val="2"/>
          <w:sz w:val="32"/>
          <w:szCs w:val="32"/>
          <w:highlight w:val="none"/>
          <w:lang w:val="en-US" w:eastAsia="zh-CN" w:bidi="ar-SA"/>
        </w:rPr>
        <w:t xml:space="preserve">        </w:t>
      </w:r>
    </w:p>
    <w:p w14:paraId="37FE53B7">
      <w:pPr>
        <w:pStyle w:val="13"/>
        <w:keepNext w:val="0"/>
        <w:keepLines w:val="0"/>
        <w:pageBreakBefore w:val="0"/>
        <w:widowControl w:val="0"/>
        <w:kinsoku/>
        <w:wordWrap/>
        <w:overflowPunct/>
        <w:topLinePunct w:val="0"/>
        <w:autoSpaceDE/>
        <w:autoSpaceDN/>
        <w:bidi w:val="0"/>
        <w:adjustRightInd/>
        <w:snapToGrid/>
        <w:spacing w:line="590" w:lineRule="exact"/>
        <w:ind w:left="0" w:leftChars="0" w:right="0" w:firstLine="1585" w:firstLineChars="500"/>
        <w:jc w:val="center"/>
        <w:textAlignment w:val="auto"/>
        <w:rPr>
          <w:rFonts w:hint="default" w:ascii="Times New Roman" w:hAnsi="Times New Roman" w:eastAsia="仿宋_GB2312" w:cs="Times New Roman"/>
          <w:color w:val="auto"/>
          <w:spacing w:val="-4"/>
          <w:kern w:val="2"/>
          <w:sz w:val="32"/>
          <w:szCs w:val="32"/>
          <w:highlight w:val="none"/>
          <w:lang w:val="en-US" w:eastAsia="zh-CN" w:bidi="ar-SA"/>
        </w:rPr>
      </w:pPr>
    </w:p>
    <w:p w14:paraId="4976D951">
      <w:pPr>
        <w:pStyle w:val="13"/>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spacing w:val="-4"/>
          <w:sz w:val="32"/>
          <w:szCs w:val="32"/>
          <w:lang w:val="en-US" w:eastAsia="zh-CN"/>
        </w:rPr>
      </w:pPr>
    </w:p>
    <w:p w14:paraId="4C3AA958">
      <w:pPr>
        <w:pStyle w:val="13"/>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spacing w:val="-4"/>
          <w:sz w:val="32"/>
          <w:szCs w:val="32"/>
          <w:lang w:val="en-US" w:eastAsia="zh-CN"/>
        </w:rPr>
      </w:pPr>
    </w:p>
    <w:p w14:paraId="6655BBE1">
      <w:pPr>
        <w:pStyle w:val="13"/>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spacing w:val="-4"/>
          <w:sz w:val="32"/>
          <w:szCs w:val="32"/>
          <w:lang w:val="en-US" w:eastAsia="zh-CN"/>
        </w:rPr>
      </w:pPr>
    </w:p>
    <w:p w14:paraId="14043405">
      <w:pPr>
        <w:pStyle w:val="13"/>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spacing w:val="-4"/>
          <w:sz w:val="32"/>
          <w:szCs w:val="32"/>
          <w:lang w:val="en-US" w:eastAsia="zh-CN"/>
        </w:rPr>
      </w:pPr>
    </w:p>
    <w:p w14:paraId="27DB2CF4">
      <w:pPr>
        <w:pStyle w:val="13"/>
        <w:keepNext w:val="0"/>
        <w:keepLines w:val="0"/>
        <w:pageBreakBefore w:val="0"/>
        <w:widowControl w:val="0"/>
        <w:kinsoku/>
        <w:wordWrap/>
        <w:overflowPunct/>
        <w:topLinePunct w:val="0"/>
        <w:autoSpaceDE/>
        <w:autoSpaceDN/>
        <w:bidi w:val="0"/>
        <w:adjustRightInd/>
        <w:snapToGrid/>
        <w:spacing w:line="590" w:lineRule="exact"/>
        <w:ind w:left="0" w:leftChars="0" w:firstLine="0" w:firstLineChars="0"/>
        <w:textAlignment w:val="auto"/>
        <w:rPr>
          <w:rFonts w:hint="default" w:ascii="Times New Roman" w:hAnsi="Times New Roman" w:eastAsia="仿宋_GB2312" w:cs="Times New Roman"/>
          <w:spacing w:val="-4"/>
          <w:sz w:val="32"/>
          <w:szCs w:val="32"/>
          <w:lang w:val="en-US" w:eastAsia="zh-CN"/>
        </w:rPr>
      </w:pPr>
    </w:p>
    <w:p w14:paraId="4F16898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center"/>
        <w:outlineLvl w:val="9"/>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cs="Times New Roman"/>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-6985</wp:posOffset>
                </wp:positionH>
                <wp:positionV relativeFrom="paragraph">
                  <wp:posOffset>0</wp:posOffset>
                </wp:positionV>
                <wp:extent cx="5615940" cy="635"/>
                <wp:effectExtent l="0" t="0" r="0" b="0"/>
                <wp:wrapNone/>
                <wp:docPr id="2" name="Line 10"/>
                <wp:cNvGraphicFramePr/>
                <a:graphic xmlns:a="http://schemas.openxmlformats.org/drawingml/2006/main">
                  <a:graphicData uri="http://schemas.microsoft.com/office/word/2010/wordprocessingShape">
                    <wps:wsp>
                      <wps:cNvCnPr/>
                      <wps:spPr>
                        <a:xfrm>
                          <a:off x="0" y="0"/>
                          <a:ext cx="56159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10" o:spid="_x0000_s1026" o:spt="20" style="position:absolute;left:0pt;margin-left:-0.55pt;margin-top:0pt;height:0.05pt;width:442.2pt;z-index:251660288;mso-width-relative:page;mso-height-relative:page;" filled="f" stroked="t" coordsize="21600,21600" o:gfxdata="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Q/Nt10gAAAAQBAAAPAAAAAAAAAAEA&#10;IAAAACIAAABkcnMvZG93bnJldi54bWxQSwECFAAUAAAACACHTuJAUOoGV9wBAADcAwAADgAAAAAA&#10;AAABACAAAAAhAQAAZHJzL2Uyb0RvYy54bWxQSwUGAAAAAAYABgBZAQAAbwUAAAAA&#10;">
                <v:fill on="f" focussize="0,0"/>
                <v:stroke color="#000000" joinstyle="round"/>
                <v:imagedata o:title=""/>
                <o:lock v:ext="edit" aspectratio="f"/>
              </v:lin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-8255</wp:posOffset>
                </wp:positionH>
                <wp:positionV relativeFrom="paragraph">
                  <wp:posOffset>358775</wp:posOffset>
                </wp:positionV>
                <wp:extent cx="5615940" cy="635"/>
                <wp:effectExtent l="0" t="0" r="0" b="0"/>
                <wp:wrapNone/>
                <wp:docPr id="1" name="Line 9"/>
                <wp:cNvGraphicFramePr/>
                <a:graphic xmlns:a="http://schemas.openxmlformats.org/drawingml/2006/main">
                  <a:graphicData uri="http://schemas.microsoft.com/office/word/2010/wordprocessingShape">
                    <wps:wsp>
                      <wps:cNvCnPr/>
                      <wps:spPr>
                        <a:xfrm>
                          <a:off x="0" y="0"/>
                          <a:ext cx="56159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9" o:spid="_x0000_s1026" o:spt="20" style="position:absolute;left:0pt;margin-left:-0.65pt;margin-top:28.25pt;height:0.05pt;width:442.2pt;z-index:251659264;mso-width-relative:page;mso-height-relative:page;" filled="f" stroked="t" coordsize="21600,21600" o:gfxdata="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sGB7LXAAAACAEAAA8AAAAA&#10;AAAAAQAgAAAAIgAAAGRycy9kb3ducmV2LnhtbFBLAQIUABQAAAAIAIdO4kBRRFNn3AEAANsDAAAO&#10;AAAAAAAAAAEAIAAAACYBAABkcnMvZTJvRG9jLnhtbFBLBQYAAAAABgAGAFkBAAB0BQAAAAA=&#10;">
                <v:fill on="f" focussize="0,0"/>
                <v:stroke color="#000000" joinstyle="round"/>
                <v:imagedata o:title=""/>
                <o:lock v:ext="edit" aspectratio="f"/>
              </v:line>
            </w:pict>
          </mc:Fallback>
        </mc:AlternateContent>
      </w:r>
      <w:r>
        <w:rPr>
          <w:rFonts w:hint="default"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大英县</w:t>
      </w:r>
      <w:r>
        <w:rPr>
          <w:rFonts w:hint="default" w:ascii="Times New Roman" w:hAnsi="Times New Roman" w:eastAsia="仿宋_GB2312" w:cs="Times New Roman"/>
          <w:color w:val="auto"/>
          <w:sz w:val="28"/>
          <w:szCs w:val="28"/>
          <w:highlight w:val="none"/>
          <w:lang w:eastAsia="zh-CN"/>
        </w:rPr>
        <w:t>商务和经济合作局</w:t>
      </w:r>
      <w:r>
        <w:rPr>
          <w:rFonts w:hint="default" w:ascii="Times New Roman" w:hAnsi="Times New Roman" w:eastAsia="仿宋_GB2312" w:cs="Times New Roman"/>
          <w:color w:val="auto"/>
          <w:sz w:val="28"/>
          <w:szCs w:val="28"/>
          <w:highlight w:val="none"/>
        </w:rPr>
        <w:t xml:space="preserve">办公室   </w:t>
      </w:r>
      <w:r>
        <w:rPr>
          <w:rFonts w:hint="default"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 </w:t>
      </w:r>
      <w:r>
        <w:rPr>
          <w:rFonts w:hint="default"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 xml:space="preserve">  </w:t>
      </w:r>
      <w:r>
        <w:rPr>
          <w:rFonts w:hint="eastAsia" w:ascii="Times New Roman" w:hAnsi="Times New Roman" w:eastAsia="仿宋_GB2312" w:cs="Times New Roman"/>
          <w:color w:val="auto"/>
          <w:sz w:val="28"/>
          <w:szCs w:val="28"/>
          <w:highlight w:val="none"/>
          <w:lang w:eastAsia="zh-CN"/>
        </w:rPr>
        <w:t>2024</w:t>
      </w:r>
      <w:r>
        <w:rPr>
          <w:rFonts w:hint="default" w:ascii="Times New Roman" w:hAnsi="Times New Roman" w:eastAsia="仿宋_GB2312" w:cs="Times New Roman"/>
          <w:color w:val="auto"/>
          <w:sz w:val="28"/>
          <w:szCs w:val="28"/>
          <w:highlight w:val="none"/>
        </w:rPr>
        <w:t>年</w:t>
      </w:r>
      <w:r>
        <w:rPr>
          <w:rFonts w:hint="eastAsia" w:ascii="Times New Roman" w:hAnsi="Times New Roman" w:eastAsia="仿宋_GB2312" w:cs="Times New Roman"/>
          <w:color w:val="auto"/>
          <w:sz w:val="28"/>
          <w:szCs w:val="28"/>
          <w:highlight w:val="none"/>
          <w:lang w:val="en-US" w:eastAsia="zh-CN"/>
        </w:rPr>
        <w:t>5</w:t>
      </w:r>
      <w:r>
        <w:rPr>
          <w:rFonts w:hint="default" w:ascii="Times New Roman" w:hAnsi="Times New Roman" w:eastAsia="仿宋_GB2312" w:cs="Times New Roman"/>
          <w:color w:val="auto"/>
          <w:sz w:val="28"/>
          <w:szCs w:val="28"/>
          <w:highlight w:val="none"/>
        </w:rPr>
        <w:t>月</w:t>
      </w:r>
      <w:r>
        <w:rPr>
          <w:rFonts w:hint="eastAsia" w:ascii="Times New Roman" w:hAnsi="Times New Roman" w:eastAsia="仿宋_GB2312" w:cs="Times New Roman"/>
          <w:color w:val="auto"/>
          <w:sz w:val="28"/>
          <w:szCs w:val="28"/>
          <w:highlight w:val="none"/>
          <w:lang w:val="en-US" w:eastAsia="zh-CN"/>
        </w:rPr>
        <w:t>6</w:t>
      </w:r>
      <w:r>
        <w:rPr>
          <w:rFonts w:hint="default" w:ascii="Times New Roman" w:hAnsi="Times New Roman" w:eastAsia="仿宋_GB2312" w:cs="Times New Roman"/>
          <w:color w:val="auto"/>
          <w:sz w:val="28"/>
          <w:szCs w:val="28"/>
          <w:highlight w:val="none"/>
        </w:rPr>
        <w:t>日印发</w:t>
      </w:r>
      <w:r>
        <w:rPr>
          <w:rFonts w:hint="default" w:ascii="Times New Roman" w:hAnsi="Times New Roman" w:eastAsia="仿宋_GB2312" w:cs="Times New Roman"/>
          <w:color w:val="auto"/>
          <w:sz w:val="28"/>
          <w:szCs w:val="28"/>
          <w:highlight w:val="none"/>
          <w:lang w:val="en-US" w:eastAsia="zh-CN"/>
        </w:rPr>
        <w:t xml:space="preserve">  </w:t>
      </w:r>
    </w:p>
    <w:p w14:paraId="1AB8B0BA">
      <w:pPr>
        <w:rPr>
          <w:rFonts w:hint="default" w:ascii="Times New Roman" w:hAnsi="Times New Roman" w:eastAsia="仿宋_GB2312" w:cs="Times New Roman"/>
          <w:color w:val="auto"/>
          <w:sz w:val="28"/>
          <w:szCs w:val="28"/>
          <w:highlight w:val="none"/>
          <w:lang w:val="en-US" w:eastAsia="zh-CN"/>
        </w:rPr>
        <w:sectPr>
          <w:footerReference r:id="rId3" w:type="default"/>
          <w:pgSz w:w="11906" w:h="16838"/>
          <w:pgMar w:top="1928" w:right="1474" w:bottom="1928" w:left="1587" w:header="851" w:footer="1134" w:gutter="0"/>
          <w:pgNumType w:fmt="decimal"/>
          <w:cols w:space="0" w:num="1"/>
          <w:rtlGutter w:val="0"/>
          <w:docGrid w:type="linesAndChars" w:linePitch="340" w:charSpace="1173"/>
        </w:sectPr>
      </w:pPr>
      <w:r>
        <w:rPr>
          <w:rFonts w:hint="default" w:ascii="Times New Roman" w:hAnsi="Times New Roman" w:eastAsia="仿宋_GB2312" w:cs="Times New Roman"/>
          <w:color w:val="auto"/>
          <w:sz w:val="28"/>
          <w:szCs w:val="28"/>
          <w:highlight w:val="none"/>
          <w:lang w:val="en-US" w:eastAsia="zh-CN"/>
        </w:rPr>
        <w:br w:type="page"/>
      </w:r>
    </w:p>
    <w:p w14:paraId="1916F0B4">
      <w:pPr>
        <w:pStyle w:val="2"/>
        <w:ind w:left="0" w:leftChars="0" w:firstLine="0" w:firstLineChars="0"/>
        <w:rPr>
          <w:rFonts w:hint="default" w:ascii="黑体" w:hAnsi="黑体" w:eastAsia="黑体" w:cs="黑体"/>
          <w:lang w:val="en-US" w:eastAsia="zh-CN"/>
        </w:rPr>
      </w:pPr>
      <w:r>
        <w:rPr>
          <w:rFonts w:hint="eastAsia" w:ascii="黑体" w:hAnsi="黑体" w:eastAsia="黑体" w:cs="黑体"/>
          <w:lang w:val="en-US" w:eastAsia="zh-CN"/>
        </w:rPr>
        <w:t>附件1-1</w:t>
      </w:r>
    </w:p>
    <w:p w14:paraId="04F9E7F5">
      <w:pPr>
        <w:pStyle w:val="2"/>
        <w:ind w:left="0" w:leftChars="0" w:firstLine="0" w:firstLineChars="0"/>
        <w:jc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default" w:ascii="Times New Roman" w:hAnsi="Times New Roman" w:eastAsia="方正小标宋简体" w:cs="Times New Roman"/>
          <w:i w:val="0"/>
          <w:iCs w:val="0"/>
          <w:color w:val="000000"/>
          <w:kern w:val="0"/>
          <w:sz w:val="44"/>
          <w:szCs w:val="44"/>
          <w:u w:val="none"/>
          <w:lang w:val="en-US" w:eastAsia="zh-CN" w:bidi="ar"/>
        </w:rPr>
        <w:t>2024</w:t>
      </w:r>
      <w:r>
        <w:rPr>
          <w:rFonts w:hint="eastAsia" w:ascii="方正小标宋简体" w:hAnsi="方正小标宋简体" w:eastAsia="方正小标宋简体" w:cs="方正小标宋简体"/>
          <w:i w:val="0"/>
          <w:iCs w:val="0"/>
          <w:color w:val="000000"/>
          <w:kern w:val="0"/>
          <w:sz w:val="44"/>
          <w:szCs w:val="44"/>
          <w:u w:val="none"/>
          <w:lang w:val="en-US" w:eastAsia="zh-CN" w:bidi="ar"/>
        </w:rPr>
        <w:t>年县级部门整体支出绩效评价指标体系</w:t>
      </w:r>
    </w:p>
    <w:tbl>
      <w:tblPr>
        <w:tblStyle w:val="14"/>
        <w:tblW w:w="5142" w:type="pct"/>
        <w:tblInd w:w="-16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3"/>
        <w:gridCol w:w="870"/>
        <w:gridCol w:w="840"/>
        <w:gridCol w:w="735"/>
        <w:gridCol w:w="1200"/>
        <w:gridCol w:w="4125"/>
        <w:gridCol w:w="3645"/>
        <w:gridCol w:w="795"/>
        <w:gridCol w:w="530"/>
      </w:tblGrid>
      <w:tr w14:paraId="7E56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F75AA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绩效指标</w:t>
            </w:r>
          </w:p>
        </w:tc>
        <w:tc>
          <w:tcPr>
            <w:tcW w:w="27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5EB8C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指标</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分值</w:t>
            </w:r>
          </w:p>
        </w:tc>
        <w:tc>
          <w:tcPr>
            <w:tcW w:w="44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8288C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指标解释</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0BB34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计分标准</w:t>
            </w:r>
          </w:p>
        </w:tc>
        <w:tc>
          <w:tcPr>
            <w:tcW w:w="134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C4D77A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依据资料</w:t>
            </w:r>
          </w:p>
        </w:tc>
        <w:tc>
          <w:tcPr>
            <w:tcW w:w="29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2C5BF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评价过程（只写扣分项的原因）</w:t>
            </w: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1D65A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自评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得分</w:t>
            </w:r>
          </w:p>
        </w:tc>
      </w:tr>
      <w:tr w14:paraId="36697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1" w:hRule="atLeast"/>
        </w:trPr>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0DD6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指标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749F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763D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三级</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指标</w:t>
            </w:r>
          </w:p>
        </w:tc>
        <w:tc>
          <w:tcPr>
            <w:tcW w:w="27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DDDD39">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22"/>
                <w:szCs w:val="22"/>
                <w:u w:val="none"/>
              </w:rPr>
            </w:pPr>
          </w:p>
        </w:tc>
        <w:tc>
          <w:tcPr>
            <w:tcW w:w="44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C5DB62">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22"/>
                <w:szCs w:val="22"/>
                <w:u w:val="none"/>
              </w:rPr>
            </w:pP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2D7393">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22"/>
                <w:szCs w:val="22"/>
                <w:u w:val="none"/>
              </w:rPr>
            </w:pPr>
          </w:p>
        </w:tc>
        <w:tc>
          <w:tcPr>
            <w:tcW w:w="134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BBA492">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22"/>
                <w:szCs w:val="22"/>
                <w:u w:val="none"/>
              </w:rPr>
            </w:pPr>
          </w:p>
        </w:tc>
        <w:tc>
          <w:tcPr>
            <w:tcW w:w="2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DA19AA">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22"/>
                <w:szCs w:val="22"/>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FBF434">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22"/>
                <w:szCs w:val="22"/>
                <w:u w:val="none"/>
              </w:rPr>
            </w:pPr>
          </w:p>
        </w:tc>
      </w:tr>
      <w:tr w14:paraId="6CF85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619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部门预算管理（70分）</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7D07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预算编制（25分）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33D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目标制定</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57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14C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评价部门绩效目标是否要素完整、细化量化并集体决策。</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F471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1.绩效目标编制要素完整的，得4分，否则酌情扣分。</w:t>
            </w:r>
          </w:p>
          <w:p w14:paraId="51B8D06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2.绩效指标细化量化的，得4分，否则酌情扣分。</w:t>
            </w:r>
          </w:p>
          <w:p w14:paraId="332A6857">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3.评价部门绩效目标纳入部门党组（委）会（办公会）集体决策范围的得2分，否则不得分。</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03BC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要素完整指目标的完成指标及效益指标、满意度指标是否填写完整，根据编制绩效目标时县财政局的要求。指标细化量化指该定量表达的是否定量表达，定性表达是否明确具体。党组（委）会（办公会）会议记录、纪要。</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710A8">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C5F9F">
            <w:pP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10</w:t>
            </w:r>
          </w:p>
        </w:tc>
      </w:tr>
      <w:tr w14:paraId="4A31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5112F">
            <w:pPr>
              <w:jc w:val="center"/>
              <w:rPr>
                <w:rFonts w:hint="eastAsia" w:ascii="宋体" w:hAnsi="宋体" w:eastAsia="宋体" w:cs="宋体"/>
                <w:i w:val="0"/>
                <w:iCs w:val="0"/>
                <w:color w:val="000000"/>
                <w:sz w:val="22"/>
                <w:szCs w:val="22"/>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A2FED">
            <w:pPr>
              <w:jc w:val="center"/>
              <w:rPr>
                <w:rFonts w:hint="eastAsia" w:ascii="宋体" w:hAnsi="宋体" w:eastAsia="宋体" w:cs="宋体"/>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5ED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目标完成</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FB4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FF9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评价部门绩效目标实际实现程度与预期目标的偏离度。</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4F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以项目完成数量指标为核心，评价项目实际完成情况是否达到预期绩效目标，指标得分=达到预期绩效目标的部门预算项目个数/纳入绩效目标管理的部门预算项目个数*15。</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C5F4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项目绩效目标申报表（数量指标）。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3C136">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9790">
            <w:pP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15</w:t>
            </w:r>
          </w:p>
        </w:tc>
      </w:tr>
      <w:tr w14:paraId="29632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92D89">
            <w:pPr>
              <w:jc w:val="center"/>
              <w:rPr>
                <w:rFonts w:hint="eastAsia" w:ascii="宋体" w:hAnsi="宋体" w:eastAsia="宋体" w:cs="宋体"/>
                <w:i w:val="0"/>
                <w:iCs w:val="0"/>
                <w:color w:val="000000"/>
                <w:sz w:val="22"/>
                <w:szCs w:val="22"/>
                <w:u w:val="none"/>
              </w:rPr>
            </w:pP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46AF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预算执行（25分）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254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支出控制</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D73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23B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部门公用经费及项目支出相关科目控制情况。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3C6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部门日常公用经费、项目支出中“办公费、印刷费、水费、电费、物业管理费、维修（护）费、培训费、会议费”8个科目年初预算数与决算数偏差程度。预决算偏差程度在10%以内的，得10分。偏差度在10%-20%之间的，得5分，偏差度超过20%的，不得分。</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1B5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决算数：决算报表Z08_1、Z08_2、Z10_1、Z10_2、Z12相关科目合计数</w:t>
            </w:r>
          </w:p>
          <w:p w14:paraId="2D060B1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年初预算数：一体化系统—综合报表查询2023年—预算编制报表—部门预算批复（表12支出经济分类表）</w:t>
            </w:r>
          </w:p>
          <w:p w14:paraId="04DB65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偏差程度=（决算数-预算数）的绝对值/决算数*100%。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ADEB4">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9E133">
            <w:pP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10</w:t>
            </w:r>
          </w:p>
        </w:tc>
      </w:tr>
      <w:tr w14:paraId="28812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11EDB">
            <w:pPr>
              <w:jc w:val="center"/>
              <w:rPr>
                <w:rFonts w:hint="eastAsia" w:ascii="宋体" w:hAnsi="宋体" w:eastAsia="宋体" w:cs="宋体"/>
                <w:i w:val="0"/>
                <w:iCs w:val="0"/>
                <w:color w:val="000000"/>
                <w:sz w:val="22"/>
                <w:szCs w:val="22"/>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EE293">
            <w:pPr>
              <w:jc w:val="center"/>
              <w:rPr>
                <w:rFonts w:hint="eastAsia" w:ascii="宋体" w:hAnsi="宋体" w:eastAsia="宋体" w:cs="宋体"/>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1DB6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及时处置</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100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6B57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评价部门开展绩效运行监控后，将绩效监控结果应用到预算调整的情况。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7A6D2">
            <w:pPr>
              <w:keepNext w:val="0"/>
              <w:keepLines w:val="0"/>
              <w:widowControl/>
              <w:numPr>
                <w:ilvl w:val="0"/>
                <w:numId w:val="0"/>
              </w:numPr>
              <w:suppressLineNumbers w:val="0"/>
              <w:jc w:val="left"/>
              <w:textAlignment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1.当部门绩效监控调整取消额和结余注销额均不为零时，指标得分=部门项目支出绩效监控调整取消额÷(部门绩效监控调整取消额+预算结余注销额）*5</w:t>
            </w:r>
          </w:p>
          <w:p w14:paraId="1E710D03">
            <w:pPr>
              <w:keepNext w:val="0"/>
              <w:keepLines w:val="0"/>
              <w:widowControl/>
              <w:numPr>
                <w:ilvl w:val="0"/>
                <w:numId w:val="0"/>
              </w:numPr>
              <w:suppressLineNumbers w:val="0"/>
              <w:jc w:val="left"/>
              <w:textAlignment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2.当部门绩效监控调整取消额为零，结余注销额不为零时，指标得分=（1-5*结余注销额/年度预算总额）*5，结余注销额超过部门年度预算总额10%的，指标不得分。</w:t>
            </w:r>
          </w:p>
          <w:p w14:paraId="5B50897A">
            <w:pPr>
              <w:keepNext w:val="0"/>
              <w:keepLines w:val="0"/>
              <w:widowControl/>
              <w:numPr>
                <w:ilvl w:val="0"/>
                <w:numId w:val="0"/>
              </w:numPr>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3.当部门绩效监控调整取消额与结余注销额均为零时，得满分。</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9A97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决算报表（Z01全年预算数、CS01_1）</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年度预算总额：Z01全年预算数总计数。</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绩效监控调整取消额：调整前年初结转和结余-调整后年初结转和结余=0，则没有取消额。</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预算结余注销额：决算报表CS01_1归集上缴和缴回资金栏为0，表示当年没有注销，如果有数就是注销额。</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FFA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9C655">
            <w:pPr>
              <w:rPr>
                <w:rFonts w:hint="default"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5</w:t>
            </w:r>
          </w:p>
        </w:tc>
      </w:tr>
      <w:tr w14:paraId="18699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BFB56">
            <w:pPr>
              <w:jc w:val="center"/>
              <w:rPr>
                <w:rFonts w:hint="eastAsia" w:ascii="宋体" w:hAnsi="宋体" w:eastAsia="宋体" w:cs="宋体"/>
                <w:i w:val="0"/>
                <w:iCs w:val="0"/>
                <w:color w:val="000000"/>
                <w:sz w:val="22"/>
                <w:szCs w:val="22"/>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71EA8">
            <w:pPr>
              <w:jc w:val="center"/>
              <w:rPr>
                <w:rFonts w:hint="eastAsia" w:ascii="宋体" w:hAnsi="宋体" w:eastAsia="宋体" w:cs="宋体"/>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B5A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执行进度</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368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C4DC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评价部门在6、9、11月的预算执行情况。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723F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部门预算执行进度在6、9、11月应达到序时进度的80%、90%、90%，即实际支出进度分别达到40%、67.5%、82.5%。6、9、11月部门预算执行进度达到量化指标的分别得3、4、3分，未达到目标进度的按其实际进度占目标进度的比重计算得分。</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4E8E2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一体化系统—综合报表查询2023年—预算执行报表—预算执行（单位）—可执行指标执行情况表—“支付日期”填需查询的时间段，“预算单位”勾选本部门机关及所有下属单位—查询</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8660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83BAB">
            <w:pPr>
              <w:rPr>
                <w:rFonts w:hint="default"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8</w:t>
            </w:r>
          </w:p>
        </w:tc>
      </w:tr>
      <w:tr w14:paraId="3666F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32382">
            <w:pPr>
              <w:jc w:val="center"/>
              <w:rPr>
                <w:rFonts w:hint="eastAsia" w:ascii="宋体" w:hAnsi="宋体" w:eastAsia="宋体" w:cs="宋体"/>
                <w:i w:val="0"/>
                <w:iCs w:val="0"/>
                <w:color w:val="000000"/>
                <w:sz w:val="22"/>
                <w:szCs w:val="22"/>
                <w:u w:val="none"/>
              </w:rPr>
            </w:pP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3F5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完成结果（20分）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4392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预算完成</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D3B1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7FA5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评价部门预算年终预算执行情况。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1798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部门预算12月预算执行进度达到100%的，得5分，未达100%的，按照实际进度量化计算得分。</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2422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同上</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E255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5E99C">
            <w:pPr>
              <w:rPr>
                <w:rFonts w:hint="eastAsia"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5</w:t>
            </w:r>
          </w:p>
        </w:tc>
      </w:tr>
      <w:tr w14:paraId="2AC98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6555C">
            <w:pPr>
              <w:jc w:val="center"/>
              <w:rPr>
                <w:rFonts w:hint="eastAsia" w:ascii="宋体" w:hAnsi="宋体" w:eastAsia="宋体" w:cs="宋体"/>
                <w:i w:val="0"/>
                <w:iCs w:val="0"/>
                <w:color w:val="000000"/>
                <w:sz w:val="22"/>
                <w:szCs w:val="22"/>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A3295">
            <w:pPr>
              <w:jc w:val="center"/>
              <w:rPr>
                <w:rFonts w:hint="eastAsia" w:ascii="宋体" w:hAnsi="宋体" w:eastAsia="宋体" w:cs="宋体"/>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43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资金结余率</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02D7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0ED7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评价部门预算项目年终资金结余情况。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327B8">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部门预算项目资金结余率小于0.1的项目个数/部门预算项目总数*10。</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2B80E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Style w:val="36"/>
                <w:color w:val="000000" w:themeColor="text1"/>
                <w:lang w:val="en-US" w:eastAsia="zh-CN" w:bidi="ar"/>
                <w14:textFill>
                  <w14:solidFill>
                    <w14:schemeClr w14:val="tx1"/>
                  </w14:solidFill>
                </w14:textFill>
              </w:rPr>
              <w:t>项目资金结余率=1-“完成数”“占预算%”</w:t>
            </w:r>
            <w:r>
              <w:rPr>
                <w:rStyle w:val="36"/>
                <w:color w:val="000000" w:themeColor="text1"/>
                <w:lang w:val="en-US" w:eastAsia="zh-CN" w:bidi="ar"/>
                <w14:textFill>
                  <w14:solidFill>
                    <w14:schemeClr w14:val="tx1"/>
                  </w14:solidFill>
                </w14:textFill>
              </w:rPr>
              <w:br w:type="textWrapping"/>
            </w:r>
            <w:r>
              <w:rPr>
                <w:rStyle w:val="36"/>
                <w:color w:val="000000" w:themeColor="text1"/>
                <w:lang w:val="en-US" w:eastAsia="zh-CN" w:bidi="ar"/>
                <w14:textFill>
                  <w14:solidFill>
                    <w14:schemeClr w14:val="tx1"/>
                  </w14:solidFill>
                </w14:textFill>
              </w:rPr>
              <w:t>部门预算项目总数：一体化系统中“预算数”不为0的项目数量。</w:t>
            </w:r>
            <w:r>
              <w:rPr>
                <w:rStyle w:val="36"/>
                <w:color w:val="000000" w:themeColor="text1"/>
                <w:lang w:val="en-US" w:eastAsia="zh-CN" w:bidi="ar"/>
                <w14:textFill>
                  <w14:solidFill>
                    <w14:schemeClr w14:val="tx1"/>
                  </w14:solidFill>
                </w14:textFill>
              </w:rPr>
              <w:br w:type="textWrapping"/>
            </w:r>
            <w:r>
              <w:rPr>
                <w:rStyle w:val="36"/>
                <w:color w:val="000000" w:themeColor="text1"/>
                <w:lang w:val="en-US" w:eastAsia="zh-CN" w:bidi="ar"/>
                <w14:textFill>
                  <w14:solidFill>
                    <w14:schemeClr w14:val="tx1"/>
                  </w14:solidFill>
                </w14:textFill>
              </w:rPr>
              <w:t>一体化系统—综合报表查询2023年—预算执行报表—预算执行（单位）—可执行指标执行情况表—“支付日期”填需查询的时间段，“预算单位”勾选本部门机关及所有下属单位，</w:t>
            </w:r>
            <w:r>
              <w:rPr>
                <w:rStyle w:val="37"/>
                <w:color w:val="000000" w:themeColor="text1"/>
                <w:lang w:val="en-US" w:eastAsia="zh-CN" w:bidi="ar"/>
                <w14:textFill>
                  <w14:solidFill>
                    <w14:schemeClr w14:val="tx1"/>
                  </w14:solidFill>
                </w14:textFill>
              </w:rPr>
              <w:t>“项目类别”勾选“31-部门项目”</w:t>
            </w:r>
            <w:r>
              <w:rPr>
                <w:rStyle w:val="36"/>
                <w:color w:val="000000" w:themeColor="text1"/>
                <w:lang w:val="en-US" w:eastAsia="zh-CN" w:bidi="ar"/>
                <w14:textFill>
                  <w14:solidFill>
                    <w14:schemeClr w14:val="tx1"/>
                  </w14:solidFill>
                </w14:textFill>
              </w:rPr>
              <w:t>—查询</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E5BD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FF111">
            <w:pPr>
              <w:rPr>
                <w:rFonts w:hint="default"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10</w:t>
            </w:r>
          </w:p>
        </w:tc>
      </w:tr>
      <w:tr w14:paraId="415C7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3D007">
            <w:pPr>
              <w:jc w:val="center"/>
              <w:rPr>
                <w:rFonts w:hint="eastAsia" w:ascii="宋体" w:hAnsi="宋体" w:eastAsia="宋体" w:cs="宋体"/>
                <w:i w:val="0"/>
                <w:iCs w:val="0"/>
                <w:color w:val="000000"/>
                <w:sz w:val="22"/>
                <w:szCs w:val="22"/>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EA3A5">
            <w:pPr>
              <w:jc w:val="center"/>
              <w:rPr>
                <w:rFonts w:hint="eastAsia" w:ascii="宋体" w:hAnsi="宋体" w:eastAsia="宋体" w:cs="宋体"/>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F7D1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违规记录</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A0D5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F1DD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根据审计监督、财政检查结果反映部门评价年度部门预算管理是否合规。</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7432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依据评价年度审计监督、财政检查结果，出现部门预算管理方面违纪违规问题的，每个问题扣0.5分，直至扣完。</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DE9B5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评价年度的审计监督、财政检查报告。</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C53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35C60">
            <w:pPr>
              <w:rPr>
                <w:rFonts w:hint="eastAsia"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5</w:t>
            </w:r>
          </w:p>
        </w:tc>
      </w:tr>
      <w:tr w14:paraId="4FEC3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CB52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绩效结果应用（20分）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D66D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内部应用</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D3D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预算挂钩</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8B5E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FD0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评价部门内部绩效结果与预算挂钩情况。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C3B0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将内设机构和下属单位绩效自评纳入考核体系，建立对内设机构和下属单位预算与绩效挂钩机制的，得6分，否则酌情扣分。</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06D3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相关制度文件。</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211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82973">
            <w:pPr>
              <w:rPr>
                <w:rFonts w:hint="eastAsia"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4</w:t>
            </w:r>
          </w:p>
        </w:tc>
      </w:tr>
      <w:tr w14:paraId="1787E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5"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2E72C">
            <w:pPr>
              <w:jc w:val="center"/>
              <w:rPr>
                <w:rFonts w:hint="eastAsia" w:ascii="宋体" w:hAnsi="宋体" w:eastAsia="宋体" w:cs="宋体"/>
                <w:i w:val="0"/>
                <w:iCs w:val="0"/>
                <w:color w:val="000000"/>
                <w:sz w:val="22"/>
                <w:szCs w:val="22"/>
                <w:u w:val="none"/>
              </w:rPr>
            </w:pPr>
          </w:p>
        </w:tc>
        <w:tc>
          <w:tcPr>
            <w:tcW w:w="320" w:type="pct"/>
            <w:tcBorders>
              <w:top w:val="nil"/>
              <w:left w:val="single" w:color="000000" w:sz="4" w:space="0"/>
              <w:bottom w:val="single" w:color="000000" w:sz="4" w:space="0"/>
              <w:right w:val="single" w:color="000000" w:sz="4" w:space="0"/>
            </w:tcBorders>
            <w:shd w:val="clear" w:color="auto" w:fill="auto"/>
            <w:vAlign w:val="center"/>
          </w:tcPr>
          <w:p w14:paraId="129697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信息公开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9151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自评公开</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9B5C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E2A3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评价部门是否按要求将部门整体绩效自评情况和自行组织的评价情况向社会公开。</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C07A8">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按要求将相关绩效信息随同决算公开的，得4分，否则不得分。</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5F7D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政府或部门门户网站。</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61F0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DFD5A">
            <w:pPr>
              <w:rPr>
                <w:rFonts w:hint="eastAsia"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4</w:t>
            </w:r>
          </w:p>
        </w:tc>
      </w:tr>
      <w:tr w14:paraId="2CEB5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440A3">
            <w:pPr>
              <w:jc w:val="center"/>
              <w:rPr>
                <w:rFonts w:hint="eastAsia" w:ascii="宋体" w:hAnsi="宋体" w:eastAsia="宋体" w:cs="宋体"/>
                <w:i w:val="0"/>
                <w:iCs w:val="0"/>
                <w:color w:val="000000"/>
                <w:sz w:val="22"/>
                <w:szCs w:val="22"/>
                <w:u w:val="none"/>
              </w:rPr>
            </w:pP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A70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整改反馈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C12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结果整改</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79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9BA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评价部门根据绩效管理结果整改问题、完善政策、改进管理的情况。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200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针对绩效管理过程中（包括绩效目标核查、绩效监控核查和重点绩效评价）提出的问题，发现一处未整改的，扣2分，直至扣完。</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6A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结果整改说明、整改报告，现场检查。</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EC3CA">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4781C">
            <w:pP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6</w:t>
            </w:r>
          </w:p>
        </w:tc>
      </w:tr>
      <w:tr w14:paraId="383B6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4B23E">
            <w:pPr>
              <w:jc w:val="center"/>
              <w:rPr>
                <w:rFonts w:hint="eastAsia" w:ascii="宋体" w:hAnsi="宋体" w:eastAsia="宋体" w:cs="宋体"/>
                <w:i w:val="0"/>
                <w:iCs w:val="0"/>
                <w:color w:val="000000"/>
                <w:sz w:val="22"/>
                <w:szCs w:val="22"/>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B5C5C">
            <w:pPr>
              <w:jc w:val="center"/>
              <w:rPr>
                <w:rFonts w:hint="eastAsia" w:ascii="宋体" w:hAnsi="宋体" w:eastAsia="宋体" w:cs="宋体"/>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36A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应用反馈</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9C6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676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评价部门按要求及时向财政部门反馈结果应用情况。</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D1C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部门在规定时间内向财政部门反馈应用绩效结果报告的，得满分，否则不得分。</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95A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根据财政部门要求反馈的时间限制。</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C5CE9">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6A5C6">
            <w:pP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4</w:t>
            </w:r>
          </w:p>
        </w:tc>
      </w:tr>
      <w:tr w14:paraId="20283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306" w:type="pct"/>
            <w:tcBorders>
              <w:top w:val="single" w:color="000000" w:sz="4" w:space="0"/>
              <w:left w:val="single" w:color="000000" w:sz="4" w:space="0"/>
              <w:bottom w:val="single" w:color="000000" w:sz="4" w:space="0"/>
              <w:right w:val="nil"/>
            </w:tcBorders>
            <w:shd w:val="clear" w:color="auto" w:fill="auto"/>
            <w:vAlign w:val="center"/>
          </w:tcPr>
          <w:p w14:paraId="14A51F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自评质量（10分）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2A3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自评质量（10分）</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451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自评准确</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9F7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EA8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评价部门整体支出自评准确率。</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DF8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36"/>
                <w:lang w:val="en-US" w:eastAsia="zh-CN" w:bidi="ar"/>
              </w:rPr>
              <w:t>部门整体支出自评得分与评价组抽查得分差异在5%以内的，不扣分；在5%-10%之间的，扣4分，在10%-20%的，扣8分，在20%</w:t>
            </w:r>
            <w:r>
              <w:rPr>
                <w:rStyle w:val="36"/>
                <w:color w:val="000000" w:themeColor="text1"/>
                <w:lang w:val="en-US" w:eastAsia="zh-CN" w:bidi="ar"/>
                <w14:textFill>
                  <w14:solidFill>
                    <w14:schemeClr w14:val="tx1"/>
                  </w14:solidFill>
                </w14:textFill>
              </w:rPr>
              <w:t>以上的，扣10分。（</w:t>
            </w:r>
            <w:r>
              <w:rPr>
                <w:rStyle w:val="38"/>
                <w:color w:val="000000" w:themeColor="text1"/>
                <w:lang w:val="en-US" w:eastAsia="zh-CN" w:bidi="ar"/>
                <w14:textFill>
                  <w14:solidFill>
                    <w14:schemeClr w14:val="tx1"/>
                  </w14:solidFill>
                </w14:textFill>
              </w:rPr>
              <w:t>部门在自评时，此项指标无需打分，部门自评满分为90分</w:t>
            </w:r>
            <w:r>
              <w:rPr>
                <w:rStyle w:val="36"/>
                <w:color w:val="000000" w:themeColor="text1"/>
                <w:lang w:val="en-US" w:eastAsia="zh-CN" w:bidi="ar"/>
                <w14:textFill>
                  <w14:solidFill>
                    <w14:schemeClr w14:val="tx1"/>
                  </w14:solidFill>
                </w14:textFill>
              </w:rPr>
              <w:t>）</w:t>
            </w: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0B16">
            <w:pPr>
              <w:rPr>
                <w:rFonts w:hint="eastAsia" w:ascii="宋体" w:hAnsi="宋体" w:eastAsia="宋体" w:cs="宋体"/>
                <w:i w:val="0"/>
                <w:iCs w:val="0"/>
                <w:color w:val="000000"/>
                <w:sz w:val="22"/>
                <w:szCs w:val="22"/>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A921D">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50125">
            <w:pPr>
              <w:rPr>
                <w:rFonts w:hint="eastAsia" w:ascii="宋体" w:hAnsi="宋体" w:eastAsia="宋体" w:cs="宋体"/>
                <w:i w:val="0"/>
                <w:iCs w:val="0"/>
                <w:color w:val="000000"/>
                <w:sz w:val="22"/>
                <w:szCs w:val="22"/>
                <w:u w:val="none"/>
              </w:rPr>
            </w:pPr>
          </w:p>
        </w:tc>
      </w:tr>
      <w:tr w14:paraId="70C58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9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C61B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自评总分</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961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CBE77">
            <w:pPr>
              <w:jc w:val="left"/>
              <w:rPr>
                <w:rFonts w:hint="eastAsia" w:ascii="宋体" w:hAnsi="宋体" w:eastAsia="宋体" w:cs="宋体"/>
                <w:i w:val="0"/>
                <w:iCs w:val="0"/>
                <w:color w:val="000000"/>
                <w:sz w:val="22"/>
                <w:szCs w:val="22"/>
                <w:u w:val="none"/>
              </w:rPr>
            </w:pP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08905">
            <w:pPr>
              <w:rPr>
                <w:rFonts w:hint="eastAsia" w:ascii="宋体" w:hAnsi="宋体" w:eastAsia="宋体" w:cs="宋体"/>
                <w:i w:val="0"/>
                <w:iCs w:val="0"/>
                <w:color w:val="000000"/>
                <w:sz w:val="22"/>
                <w:szCs w:val="22"/>
                <w:u w:val="none"/>
              </w:rPr>
            </w:pPr>
          </w:p>
        </w:tc>
        <w:tc>
          <w:tcPr>
            <w:tcW w:w="1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6FF5A">
            <w:pPr>
              <w:rPr>
                <w:rFonts w:hint="eastAsia" w:ascii="宋体" w:hAnsi="宋体" w:eastAsia="宋体" w:cs="宋体"/>
                <w:i w:val="0"/>
                <w:iCs w:val="0"/>
                <w:color w:val="000000"/>
                <w:sz w:val="22"/>
                <w:szCs w:val="22"/>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E6248">
            <w:pPr>
              <w:rPr>
                <w:rFonts w:hint="eastAsia" w:ascii="宋体" w:hAnsi="宋体" w:eastAsia="宋体" w:cs="宋体"/>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B4B27">
            <w:pP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86</w:t>
            </w:r>
          </w:p>
        </w:tc>
      </w:tr>
    </w:tbl>
    <w:p w14:paraId="435F4570">
      <w:pPr>
        <w:rPr>
          <w:rFonts w:hint="default"/>
          <w:lang w:val="en-US" w:eastAsia="zh-CN"/>
        </w:rPr>
      </w:pPr>
    </w:p>
    <w:sectPr>
      <w:pgSz w:w="16838" w:h="11906" w:orient="landscape"/>
      <w:pgMar w:top="1587" w:right="1928" w:bottom="1474" w:left="1928" w:header="851" w:footer="1134" w:gutter="0"/>
      <w:pgNumType w:fmt="decimal"/>
      <w:cols w:space="0" w:num="1"/>
      <w:rtlGutter w:val="0"/>
      <w:docGrid w:type="linesAndChars" w:linePitch="340" w:charSpace="117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锟斤拷锟斤拷">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新宋体">
    <w:panose1 w:val="02010609030101010101"/>
    <w:charset w:val="86"/>
    <w:family w:val="decorative"/>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50D6F">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-281305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miter/>
                      </a:ln>
                    </wps:spPr>
                    <wps:txbx>
                      <w:txbxContent>
                        <w:p w14:paraId="331AFB8D">
                          <w:pPr>
                            <w:pStyle w:val="10"/>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3</w:t>
                          </w:r>
                          <w:r>
                            <w:rPr>
                              <w:rFonts w:hint="eastAsia" w:ascii="宋体" w:hAnsi="宋体" w:cs="宋体"/>
                              <w:sz w:val="28"/>
                              <w:szCs w:val="28"/>
                              <w:lang w:eastAsia="zh-CN"/>
                            </w:rPr>
                            <w:fldChar w:fldCharType="end"/>
                          </w:r>
                          <w:r>
                            <w:rPr>
                              <w:rFonts w:hint="eastAsia" w:ascii="宋体" w:hAnsi="宋体" w:cs="宋体"/>
                              <w:sz w:val="28"/>
                              <w:szCs w:val="28"/>
                              <w:lang w:val="en-US" w:eastAsia="zh-CN"/>
                            </w:rPr>
                            <w:t xml:space="preserve"> </w:t>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22.15pt;height:144pt;width:144pt;mso-position-horizontal:outside;mso-position-horizontal-relative:margin;mso-wrap-style:none;z-index:251661312;mso-width-relative:page;mso-height-relative:page;" filled="f" stroked="f" coordsize="21600,21600" o:gfxdata="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I4xBLYAAAACAEAAA8AAAAAAAAAAQAg&#10;AAAAIgAAAGRycy9kb3ducmV2LnhtbFBLAQIUABQAAAAIAIdO4kCucnxd1QEAAK0DAAAOAAAAAAAA&#10;AAEAIAAAACcBAABkcnMvZTJvRG9jLnhtbFBLBQYAAAAABgAGAFkBAABuBQAAAAA=&#10;">
              <v:fill on="f" focussize="0,0"/>
              <v:stroke on="f" weight="1.25pt" joinstyle="miter"/>
              <v:imagedata o:title=""/>
              <o:lock v:ext="edit" aspectratio="f"/>
              <v:textbox inset="0mm,0mm,0mm,0mm" style="mso-fit-shape-to-text:t;">
                <w:txbxContent>
                  <w:p w14:paraId="331AFB8D">
                    <w:pPr>
                      <w:pStyle w:val="10"/>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3</w:t>
                    </w:r>
                    <w:r>
                      <w:rPr>
                        <w:rFonts w:hint="eastAsia" w:ascii="宋体" w:hAnsi="宋体" w:cs="宋体"/>
                        <w:sz w:val="28"/>
                        <w:szCs w:val="28"/>
                        <w:lang w:eastAsia="zh-CN"/>
                      </w:rPr>
                      <w:fldChar w:fldCharType="end"/>
                    </w:r>
                    <w:r>
                      <w:rPr>
                        <w:rFonts w:hint="eastAsia" w:ascii="宋体" w:hAnsi="宋体" w:cs="宋体"/>
                        <w:sz w:val="28"/>
                        <w:szCs w:val="28"/>
                        <w:lang w:val="en-US" w:eastAsia="zh-CN"/>
                      </w:rPr>
                      <w:t xml:space="preserve"> </w:t>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3AEDD"/>
    <w:multiLevelType w:val="singleLevel"/>
    <w:tmpl w:val="9B93AEDD"/>
    <w:lvl w:ilvl="0" w:tentative="0">
      <w:start w:val="1"/>
      <w:numFmt w:val="decimal"/>
      <w:pStyle w:val="5"/>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8"/>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yMTkwMTk1NWMzMGJlOGQ0Y2ZiMTBlMzQ2ZTZiOGUifQ=="/>
  </w:docVars>
  <w:rsids>
    <w:rsidRoot w:val="44E475FA"/>
    <w:rsid w:val="00210947"/>
    <w:rsid w:val="016B05C9"/>
    <w:rsid w:val="01AD533A"/>
    <w:rsid w:val="02054F52"/>
    <w:rsid w:val="027D2A33"/>
    <w:rsid w:val="02EE41D9"/>
    <w:rsid w:val="0444408D"/>
    <w:rsid w:val="044A797E"/>
    <w:rsid w:val="049F168E"/>
    <w:rsid w:val="05617B23"/>
    <w:rsid w:val="05793E2A"/>
    <w:rsid w:val="05921658"/>
    <w:rsid w:val="065E28B2"/>
    <w:rsid w:val="06864333"/>
    <w:rsid w:val="06A61AE6"/>
    <w:rsid w:val="06B02493"/>
    <w:rsid w:val="0714717F"/>
    <w:rsid w:val="072178F7"/>
    <w:rsid w:val="078F6222"/>
    <w:rsid w:val="07F10AC1"/>
    <w:rsid w:val="08310A38"/>
    <w:rsid w:val="098A51BE"/>
    <w:rsid w:val="0A906B6C"/>
    <w:rsid w:val="0B132EAB"/>
    <w:rsid w:val="0B812E4C"/>
    <w:rsid w:val="0B9837C0"/>
    <w:rsid w:val="0BC13E99"/>
    <w:rsid w:val="0BD45F73"/>
    <w:rsid w:val="0CCF63A5"/>
    <w:rsid w:val="0CE15F55"/>
    <w:rsid w:val="0D0D5D7F"/>
    <w:rsid w:val="0E8340FC"/>
    <w:rsid w:val="0E893EA9"/>
    <w:rsid w:val="0F3C5B08"/>
    <w:rsid w:val="0F7E0CEA"/>
    <w:rsid w:val="0FC169C8"/>
    <w:rsid w:val="102272EE"/>
    <w:rsid w:val="10481D9D"/>
    <w:rsid w:val="1137317E"/>
    <w:rsid w:val="119C17A1"/>
    <w:rsid w:val="11B5604C"/>
    <w:rsid w:val="12135469"/>
    <w:rsid w:val="12372F05"/>
    <w:rsid w:val="12846679"/>
    <w:rsid w:val="12B1253D"/>
    <w:rsid w:val="12D233F7"/>
    <w:rsid w:val="12FA1A91"/>
    <w:rsid w:val="137344FF"/>
    <w:rsid w:val="13D253E7"/>
    <w:rsid w:val="13F50D94"/>
    <w:rsid w:val="158A5A42"/>
    <w:rsid w:val="16017DB3"/>
    <w:rsid w:val="16726739"/>
    <w:rsid w:val="167660BA"/>
    <w:rsid w:val="1690754F"/>
    <w:rsid w:val="16BD7A09"/>
    <w:rsid w:val="17A75B29"/>
    <w:rsid w:val="17E21B65"/>
    <w:rsid w:val="18C73813"/>
    <w:rsid w:val="18ED211A"/>
    <w:rsid w:val="19393A07"/>
    <w:rsid w:val="198C07C9"/>
    <w:rsid w:val="19F47BFF"/>
    <w:rsid w:val="1A1737FE"/>
    <w:rsid w:val="1A1E038E"/>
    <w:rsid w:val="1B8E3EBF"/>
    <w:rsid w:val="1BA17C84"/>
    <w:rsid w:val="1BE81DA5"/>
    <w:rsid w:val="1BF5460B"/>
    <w:rsid w:val="1C150B42"/>
    <w:rsid w:val="1C5172BA"/>
    <w:rsid w:val="1CB159D6"/>
    <w:rsid w:val="1D08528A"/>
    <w:rsid w:val="1DFC2F6D"/>
    <w:rsid w:val="1E25455A"/>
    <w:rsid w:val="1EC0251A"/>
    <w:rsid w:val="1F197E83"/>
    <w:rsid w:val="1F4F00E0"/>
    <w:rsid w:val="1FB12BA3"/>
    <w:rsid w:val="1FED67F2"/>
    <w:rsid w:val="2011123A"/>
    <w:rsid w:val="202C6FCB"/>
    <w:rsid w:val="205B3562"/>
    <w:rsid w:val="20FB3E6D"/>
    <w:rsid w:val="212975FD"/>
    <w:rsid w:val="216C6E3A"/>
    <w:rsid w:val="21902632"/>
    <w:rsid w:val="219203C2"/>
    <w:rsid w:val="22255BAB"/>
    <w:rsid w:val="22CE65FB"/>
    <w:rsid w:val="238258CA"/>
    <w:rsid w:val="23A81EB5"/>
    <w:rsid w:val="24143EC8"/>
    <w:rsid w:val="24353808"/>
    <w:rsid w:val="24763E4F"/>
    <w:rsid w:val="256E3752"/>
    <w:rsid w:val="25D6795A"/>
    <w:rsid w:val="25E71D58"/>
    <w:rsid w:val="25FD784C"/>
    <w:rsid w:val="261A3C25"/>
    <w:rsid w:val="263D29DA"/>
    <w:rsid w:val="26405EEE"/>
    <w:rsid w:val="27484F14"/>
    <w:rsid w:val="28AE67D9"/>
    <w:rsid w:val="297E63FC"/>
    <w:rsid w:val="297F4C88"/>
    <w:rsid w:val="299A32E9"/>
    <w:rsid w:val="29A434F4"/>
    <w:rsid w:val="29F05A98"/>
    <w:rsid w:val="29F712D2"/>
    <w:rsid w:val="2A274817"/>
    <w:rsid w:val="2A8C6AF7"/>
    <w:rsid w:val="2AC9333B"/>
    <w:rsid w:val="2ACE106F"/>
    <w:rsid w:val="2B471AF0"/>
    <w:rsid w:val="2B594EEF"/>
    <w:rsid w:val="2BEA0084"/>
    <w:rsid w:val="2CD014C6"/>
    <w:rsid w:val="2CFE569D"/>
    <w:rsid w:val="2D097966"/>
    <w:rsid w:val="2D1F7589"/>
    <w:rsid w:val="2D940A6C"/>
    <w:rsid w:val="2DAE4B4D"/>
    <w:rsid w:val="2DD569EA"/>
    <w:rsid w:val="2DF06F4B"/>
    <w:rsid w:val="2E89152A"/>
    <w:rsid w:val="2F452C71"/>
    <w:rsid w:val="2F821A18"/>
    <w:rsid w:val="30126849"/>
    <w:rsid w:val="302C0902"/>
    <w:rsid w:val="302D23B6"/>
    <w:rsid w:val="30464FEE"/>
    <w:rsid w:val="307A7424"/>
    <w:rsid w:val="31BB1005"/>
    <w:rsid w:val="31BC1B35"/>
    <w:rsid w:val="31D419CD"/>
    <w:rsid w:val="32EE0AA9"/>
    <w:rsid w:val="33447A9C"/>
    <w:rsid w:val="337D0822"/>
    <w:rsid w:val="34CD6CB0"/>
    <w:rsid w:val="34D04DC8"/>
    <w:rsid w:val="34FA610A"/>
    <w:rsid w:val="352F2C42"/>
    <w:rsid w:val="35321C37"/>
    <w:rsid w:val="35E64F6A"/>
    <w:rsid w:val="37411910"/>
    <w:rsid w:val="393D67A4"/>
    <w:rsid w:val="399860D0"/>
    <w:rsid w:val="39CE3912"/>
    <w:rsid w:val="3BA24FE4"/>
    <w:rsid w:val="3D53566A"/>
    <w:rsid w:val="3DBE3D61"/>
    <w:rsid w:val="3DD75F06"/>
    <w:rsid w:val="3E061A0E"/>
    <w:rsid w:val="3E6E7D19"/>
    <w:rsid w:val="3EB621AE"/>
    <w:rsid w:val="3FFF0C57"/>
    <w:rsid w:val="40AD0155"/>
    <w:rsid w:val="416F1335"/>
    <w:rsid w:val="41CA7043"/>
    <w:rsid w:val="423D347F"/>
    <w:rsid w:val="43286FFA"/>
    <w:rsid w:val="43325E89"/>
    <w:rsid w:val="44E475FA"/>
    <w:rsid w:val="44EE5BEA"/>
    <w:rsid w:val="45755A40"/>
    <w:rsid w:val="458751AB"/>
    <w:rsid w:val="4589228F"/>
    <w:rsid w:val="45971EFA"/>
    <w:rsid w:val="45FA6A22"/>
    <w:rsid w:val="46BF7364"/>
    <w:rsid w:val="46CF7994"/>
    <w:rsid w:val="46F80D11"/>
    <w:rsid w:val="47427F43"/>
    <w:rsid w:val="47BB65CA"/>
    <w:rsid w:val="483979DA"/>
    <w:rsid w:val="496164DE"/>
    <w:rsid w:val="49C544EB"/>
    <w:rsid w:val="4A6F3F18"/>
    <w:rsid w:val="4AD85434"/>
    <w:rsid w:val="4B637F69"/>
    <w:rsid w:val="4BB2552A"/>
    <w:rsid w:val="4BEA6DBA"/>
    <w:rsid w:val="4C2151E2"/>
    <w:rsid w:val="4CA1120A"/>
    <w:rsid w:val="4CAD0BB5"/>
    <w:rsid w:val="4D3B479A"/>
    <w:rsid w:val="4D3D6C1B"/>
    <w:rsid w:val="4D732B36"/>
    <w:rsid w:val="4E256628"/>
    <w:rsid w:val="4E483328"/>
    <w:rsid w:val="4EA50FB3"/>
    <w:rsid w:val="4EA86BE5"/>
    <w:rsid w:val="4EB77FF5"/>
    <w:rsid w:val="4F270B46"/>
    <w:rsid w:val="4F732AC8"/>
    <w:rsid w:val="4F9A44F8"/>
    <w:rsid w:val="4FE40ECE"/>
    <w:rsid w:val="4FFE741E"/>
    <w:rsid w:val="502267F4"/>
    <w:rsid w:val="5193452E"/>
    <w:rsid w:val="51E16C8B"/>
    <w:rsid w:val="52200F65"/>
    <w:rsid w:val="523544D9"/>
    <w:rsid w:val="52727D5E"/>
    <w:rsid w:val="529D1058"/>
    <w:rsid w:val="52B03CC0"/>
    <w:rsid w:val="52CB62B9"/>
    <w:rsid w:val="53057EDB"/>
    <w:rsid w:val="531E5E21"/>
    <w:rsid w:val="537A168D"/>
    <w:rsid w:val="53840681"/>
    <w:rsid w:val="53857315"/>
    <w:rsid w:val="53D650FF"/>
    <w:rsid w:val="53E42488"/>
    <w:rsid w:val="53F859ED"/>
    <w:rsid w:val="552732B0"/>
    <w:rsid w:val="55E92F2F"/>
    <w:rsid w:val="56320124"/>
    <w:rsid w:val="56B514ED"/>
    <w:rsid w:val="57160263"/>
    <w:rsid w:val="57455927"/>
    <w:rsid w:val="57A645BB"/>
    <w:rsid w:val="57AC62C6"/>
    <w:rsid w:val="57E65A92"/>
    <w:rsid w:val="58BF31FA"/>
    <w:rsid w:val="5927131D"/>
    <w:rsid w:val="59457283"/>
    <w:rsid w:val="598F5196"/>
    <w:rsid w:val="599737DE"/>
    <w:rsid w:val="5A1647A5"/>
    <w:rsid w:val="5A515F41"/>
    <w:rsid w:val="5B61411C"/>
    <w:rsid w:val="5B6A1223"/>
    <w:rsid w:val="5C2E60D1"/>
    <w:rsid w:val="5C8B49ED"/>
    <w:rsid w:val="5CA12FD2"/>
    <w:rsid w:val="5CB64946"/>
    <w:rsid w:val="5CE676AB"/>
    <w:rsid w:val="5D0A2B3D"/>
    <w:rsid w:val="5D572F04"/>
    <w:rsid w:val="5E121363"/>
    <w:rsid w:val="5E2C47AF"/>
    <w:rsid w:val="5EC948F3"/>
    <w:rsid w:val="5F366169"/>
    <w:rsid w:val="5F47129C"/>
    <w:rsid w:val="5F935E64"/>
    <w:rsid w:val="5FB05672"/>
    <w:rsid w:val="60976D51"/>
    <w:rsid w:val="60A33482"/>
    <w:rsid w:val="60B85BFA"/>
    <w:rsid w:val="60F82E2D"/>
    <w:rsid w:val="611E56C6"/>
    <w:rsid w:val="614926E4"/>
    <w:rsid w:val="61726159"/>
    <w:rsid w:val="61C2383D"/>
    <w:rsid w:val="61D04A2D"/>
    <w:rsid w:val="63507064"/>
    <w:rsid w:val="635A5F07"/>
    <w:rsid w:val="639018C0"/>
    <w:rsid w:val="63A67713"/>
    <w:rsid w:val="63B16782"/>
    <w:rsid w:val="63BC743F"/>
    <w:rsid w:val="63CF644E"/>
    <w:rsid w:val="64532087"/>
    <w:rsid w:val="65386834"/>
    <w:rsid w:val="653B6B3A"/>
    <w:rsid w:val="66980D2C"/>
    <w:rsid w:val="66DF5748"/>
    <w:rsid w:val="676F11D5"/>
    <w:rsid w:val="67C1610D"/>
    <w:rsid w:val="67D430DE"/>
    <w:rsid w:val="67D66256"/>
    <w:rsid w:val="68176525"/>
    <w:rsid w:val="68ED3493"/>
    <w:rsid w:val="69076303"/>
    <w:rsid w:val="69C83D23"/>
    <w:rsid w:val="6A5C5588"/>
    <w:rsid w:val="6A9D2388"/>
    <w:rsid w:val="6AA645F4"/>
    <w:rsid w:val="6AD40164"/>
    <w:rsid w:val="6AD810BF"/>
    <w:rsid w:val="6B075232"/>
    <w:rsid w:val="6B124A3A"/>
    <w:rsid w:val="6B1D65E7"/>
    <w:rsid w:val="6B885F7C"/>
    <w:rsid w:val="6C6D3712"/>
    <w:rsid w:val="6C8E64C9"/>
    <w:rsid w:val="6CDD2ECA"/>
    <w:rsid w:val="6D9D0B63"/>
    <w:rsid w:val="6DC01176"/>
    <w:rsid w:val="6E1C4AAC"/>
    <w:rsid w:val="6E54143A"/>
    <w:rsid w:val="6EA42740"/>
    <w:rsid w:val="6ECC29EA"/>
    <w:rsid w:val="6EDF0B81"/>
    <w:rsid w:val="6EEC3912"/>
    <w:rsid w:val="6F230BC1"/>
    <w:rsid w:val="6FD1766A"/>
    <w:rsid w:val="70F1198A"/>
    <w:rsid w:val="71414EDF"/>
    <w:rsid w:val="71DE1F23"/>
    <w:rsid w:val="72040F06"/>
    <w:rsid w:val="73913A09"/>
    <w:rsid w:val="73C03C7E"/>
    <w:rsid w:val="73C13A79"/>
    <w:rsid w:val="73EE6A11"/>
    <w:rsid w:val="744E454E"/>
    <w:rsid w:val="746D066C"/>
    <w:rsid w:val="74D907BF"/>
    <w:rsid w:val="753F1015"/>
    <w:rsid w:val="75EB2827"/>
    <w:rsid w:val="75EB2B08"/>
    <w:rsid w:val="763902CF"/>
    <w:rsid w:val="76672FE9"/>
    <w:rsid w:val="76BA6BBC"/>
    <w:rsid w:val="771B741D"/>
    <w:rsid w:val="77250928"/>
    <w:rsid w:val="77A37FE7"/>
    <w:rsid w:val="77D627C5"/>
    <w:rsid w:val="78E10FB9"/>
    <w:rsid w:val="79D00993"/>
    <w:rsid w:val="79DB14D5"/>
    <w:rsid w:val="7AD94D8C"/>
    <w:rsid w:val="7B222136"/>
    <w:rsid w:val="7B580CE6"/>
    <w:rsid w:val="7B912D47"/>
    <w:rsid w:val="7BF87F2C"/>
    <w:rsid w:val="7CB0252C"/>
    <w:rsid w:val="7DB2265C"/>
    <w:rsid w:val="7DFE4FCD"/>
    <w:rsid w:val="7E9E6B78"/>
    <w:rsid w:val="7F563680"/>
    <w:rsid w:val="7F9C7D4C"/>
    <w:rsid w:val="7FA765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8"/>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autoRedefine/>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锟斤拷锟斤拷" w:hAnsi="锟斤拷锟斤拷" w:eastAsia="锟斤拷锟斤拷" w:cs="锟斤拷锟斤拷"/>
      <w:b/>
      <w:kern w:val="0"/>
      <w:sz w:val="18"/>
      <w:szCs w:val="18"/>
      <w:lang w:val="en-US" w:eastAsia="zh-CN" w:bidi="ar"/>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customStyle="1" w:styleId="2">
    <w:name w:val="常用样式（方正仿宋简）"/>
    <w:basedOn w:val="3"/>
    <w:next w:val="1"/>
    <w:autoRedefine/>
    <w:qFormat/>
    <w:uiPriority w:val="0"/>
    <w:pPr>
      <w:spacing w:line="560" w:lineRule="exact"/>
      <w:ind w:firstLine="640" w:firstLineChars="200"/>
    </w:pPr>
    <w:rPr>
      <w:rFonts w:ascii="Times New Roman" w:hAnsi="Times New Roman" w:eastAsia="方正仿宋简体"/>
      <w:sz w:val="32"/>
    </w:rPr>
  </w:style>
  <w:style w:type="paragraph" w:customStyle="1" w:styleId="3">
    <w:name w:val="正文1"/>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List Number"/>
    <w:basedOn w:val="1"/>
    <w:autoRedefine/>
    <w:qFormat/>
    <w:uiPriority w:val="0"/>
    <w:pPr>
      <w:numPr>
        <w:ilvl w:val="0"/>
        <w:numId w:val="1"/>
      </w:numPr>
    </w:pPr>
  </w:style>
  <w:style w:type="paragraph" w:styleId="6">
    <w:name w:val="index 6"/>
    <w:basedOn w:val="1"/>
    <w:next w:val="1"/>
    <w:autoRedefine/>
    <w:qFormat/>
    <w:uiPriority w:val="0"/>
    <w:pPr>
      <w:ind w:left="2100"/>
    </w:pPr>
  </w:style>
  <w:style w:type="paragraph" w:styleId="7">
    <w:name w:val="Body Text"/>
    <w:basedOn w:val="1"/>
    <w:autoRedefine/>
    <w:qFormat/>
    <w:uiPriority w:val="0"/>
    <w:pPr>
      <w:spacing w:after="120"/>
    </w:pPr>
  </w:style>
  <w:style w:type="paragraph" w:styleId="8">
    <w:name w:val="Body Text Indent"/>
    <w:basedOn w:val="1"/>
    <w:autoRedefine/>
    <w:qFormat/>
    <w:uiPriority w:val="0"/>
    <w:pPr>
      <w:ind w:firstLine="560" w:firstLineChars="200"/>
    </w:pPr>
    <w:rPr>
      <w:sz w:val="28"/>
    </w:rPr>
  </w:style>
  <w:style w:type="paragraph" w:styleId="9">
    <w:name w:val="Plain Text"/>
    <w:basedOn w:val="1"/>
    <w:autoRedefine/>
    <w:unhideWhenUsed/>
    <w:qFormat/>
    <w:uiPriority w:val="99"/>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8"/>
    <w:autoRedefine/>
    <w:qFormat/>
    <w:uiPriority w:val="0"/>
    <w:pPr>
      <w:ind w:firstLine="420" w:firstLineChars="200"/>
    </w:p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rPr>
  </w:style>
  <w:style w:type="character" w:styleId="18">
    <w:name w:val="Hyperlink"/>
    <w:basedOn w:val="16"/>
    <w:autoRedefine/>
    <w:qFormat/>
    <w:uiPriority w:val="0"/>
    <w:rPr>
      <w:color w:val="0000FF"/>
      <w:u w:val="single"/>
    </w:rPr>
  </w:style>
  <w:style w:type="paragraph" w:customStyle="1" w:styleId="19">
    <w:name w:val="正文文本1"/>
    <w:basedOn w:val="3"/>
    <w:autoRedefine/>
    <w:qFormat/>
    <w:uiPriority w:val="0"/>
    <w:pPr>
      <w:widowControl w:val="0"/>
      <w:spacing w:before="0" w:after="0"/>
      <w:jc w:val="both"/>
    </w:pPr>
    <w:rPr>
      <w:rFonts w:ascii="Times New Roman" w:hAnsi="Times New Roman" w:eastAsia="宋体" w:cs="Times New Roman"/>
      <w:kern w:val="2"/>
      <w:sz w:val="21"/>
      <w:szCs w:val="24"/>
      <w:lang w:val="en-US" w:eastAsia="zh-CN" w:bidi="ar-SA"/>
    </w:rPr>
  </w:style>
  <w:style w:type="paragraph" w:customStyle="1" w:styleId="20">
    <w:name w:val="正文文字"/>
    <w:basedOn w:val="1"/>
    <w:next w:val="1"/>
    <w:autoRedefine/>
    <w:qFormat/>
    <w:uiPriority w:val="0"/>
    <w:pPr>
      <w:spacing w:after="120"/>
    </w:pPr>
    <w:rPr>
      <w:rFonts w:ascii="Calibri" w:hAnsi="Calibri" w:eastAsia="宋体" w:cs="Times New Roman"/>
    </w:rPr>
  </w:style>
  <w:style w:type="paragraph" w:customStyle="1" w:styleId="21">
    <w:name w:val="BodyText"/>
    <w:basedOn w:val="1"/>
    <w:autoRedefine/>
    <w:qFormat/>
    <w:uiPriority w:val="0"/>
    <w:pPr>
      <w:spacing w:line="540" w:lineRule="exact"/>
      <w:jc w:val="both"/>
      <w:textAlignment w:val="baseline"/>
    </w:pPr>
    <w:rPr>
      <w:rFonts w:ascii="Calibri" w:hAnsi="Calibri" w:eastAsia="宋体"/>
      <w:kern w:val="0"/>
      <w:sz w:val="20"/>
      <w:szCs w:val="20"/>
      <w:lang w:val="en-US" w:eastAsia="zh-CN" w:bidi="ar-SA"/>
    </w:rPr>
  </w:style>
  <w:style w:type="paragraph" w:customStyle="1" w:styleId="22">
    <w:name w:val="页脚1"/>
    <w:basedOn w:val="1"/>
    <w:autoRedefine/>
    <w:qFormat/>
    <w:uiPriority w:val="0"/>
    <w:pPr>
      <w:snapToGrid w:val="0"/>
      <w:jc w:val="left"/>
    </w:pPr>
    <w:rPr>
      <w:sz w:val="18"/>
    </w:rPr>
  </w:style>
  <w:style w:type="paragraph" w:customStyle="1" w:styleId="23">
    <w:name w:val="章标题"/>
    <w:basedOn w:val="1"/>
    <w:next w:val="1"/>
    <w:autoRedefine/>
    <w:qFormat/>
    <w:uiPriority w:val="0"/>
    <w:pPr>
      <w:widowControl/>
      <w:spacing w:line="323" w:lineRule="atLeast"/>
      <w:ind w:right="-120"/>
      <w:jc w:val="center"/>
      <w:textAlignment w:val="baseline"/>
    </w:pPr>
    <w:rPr>
      <w:color w:val="FF0000"/>
      <w:sz w:val="18"/>
    </w:rPr>
  </w:style>
  <w:style w:type="paragraph" w:customStyle="1" w:styleId="24">
    <w:name w:val="节标题"/>
    <w:basedOn w:val="1"/>
    <w:autoRedefine/>
    <w:qFormat/>
    <w:uiPriority w:val="0"/>
    <w:pPr>
      <w:widowControl/>
      <w:spacing w:line="289" w:lineRule="atLeast"/>
      <w:jc w:val="center"/>
      <w:textAlignment w:val="baseline"/>
    </w:pPr>
    <w:rPr>
      <w:color w:val="000000"/>
      <w:sz w:val="28"/>
    </w:rPr>
  </w:style>
  <w:style w:type="paragraph" w:customStyle="1" w:styleId="25">
    <w:name w:val="UserStyle_0"/>
    <w:basedOn w:val="1"/>
    <w:next w:val="1"/>
    <w:autoRedefine/>
    <w:qFormat/>
    <w:uiPriority w:val="0"/>
    <w:pPr>
      <w:spacing w:line="560" w:lineRule="exact"/>
      <w:ind w:firstLine="640" w:firstLineChars="200"/>
      <w:jc w:val="both"/>
    </w:pPr>
    <w:rPr>
      <w:rFonts w:ascii="Calibri" w:hAnsi="Calibri" w:eastAsia="仿宋_GB2312"/>
      <w:kern w:val="2"/>
      <w:sz w:val="32"/>
      <w:szCs w:val="24"/>
      <w:lang w:val="en-US" w:eastAsia="zh-CN" w:bidi="ar-SA"/>
    </w:rPr>
  </w:style>
  <w:style w:type="paragraph" w:customStyle="1" w:styleId="26">
    <w:name w:val="BodyText1I2"/>
    <w:basedOn w:val="27"/>
    <w:autoRedefine/>
    <w:qFormat/>
    <w:uiPriority w:val="0"/>
    <w:pPr>
      <w:spacing w:after="120" w:line="240" w:lineRule="auto"/>
      <w:ind w:left="420" w:leftChars="200" w:firstLine="420" w:firstLineChars="200"/>
      <w:jc w:val="both"/>
      <w:textAlignment w:val="baseline"/>
    </w:pPr>
    <w:rPr>
      <w:rFonts w:ascii="宋体" w:hAnsi="宋体" w:eastAsia="宋体" w:cs="Times New Roman"/>
      <w:kern w:val="2"/>
      <w:sz w:val="21"/>
      <w:szCs w:val="24"/>
      <w:lang w:val="en-US" w:eastAsia="zh-CN" w:bidi="ar-SA"/>
    </w:rPr>
  </w:style>
  <w:style w:type="paragraph" w:customStyle="1" w:styleId="27">
    <w:name w:val="BodyTextIndent"/>
    <w:basedOn w:val="1"/>
    <w:autoRedefine/>
    <w:qFormat/>
    <w:uiPriority w:val="0"/>
    <w:pPr>
      <w:spacing w:line="240" w:lineRule="auto"/>
      <w:ind w:firstLine="600" w:firstLineChars="200"/>
      <w:jc w:val="both"/>
      <w:textAlignment w:val="baseline"/>
    </w:pPr>
    <w:rPr>
      <w:rFonts w:ascii="宋体" w:hAnsi="宋体" w:eastAsia="仿宋_GB2312" w:cs="Times New Roman"/>
      <w:kern w:val="2"/>
      <w:sz w:val="30"/>
      <w:szCs w:val="24"/>
      <w:lang w:val="en-US" w:eastAsia="zh-CN" w:bidi="ar-SA"/>
    </w:rPr>
  </w:style>
  <w:style w:type="character" w:customStyle="1" w:styleId="28">
    <w:name w:val="NormalCharacter"/>
    <w:link w:val="1"/>
    <w:autoRedefine/>
    <w:semiHidden/>
    <w:qFormat/>
    <w:uiPriority w:val="0"/>
    <w:rPr>
      <w:rFonts w:ascii="Calibri" w:hAnsi="Calibri" w:eastAsia="宋体" w:cs="Times New Roman"/>
      <w:kern w:val="2"/>
      <w:sz w:val="21"/>
      <w:szCs w:val="24"/>
      <w:lang w:val="en-US" w:eastAsia="zh-CN" w:bidi="ar-SA"/>
    </w:rPr>
  </w:style>
  <w:style w:type="paragraph" w:customStyle="1" w:styleId="29">
    <w:name w:val="公文主体"/>
    <w:basedOn w:val="1"/>
    <w:autoRedefine/>
    <w:qFormat/>
    <w:uiPriority w:val="0"/>
    <w:pPr>
      <w:spacing w:line="580" w:lineRule="exact"/>
      <w:ind w:firstLine="200" w:firstLineChars="200"/>
    </w:pPr>
    <w:rPr>
      <w:rFonts w:eastAsia="仿宋_GB2312"/>
      <w:sz w:val="32"/>
    </w:rPr>
  </w:style>
  <w:style w:type="paragraph" w:customStyle="1" w:styleId="30">
    <w:name w:val="大标题"/>
    <w:basedOn w:val="1"/>
    <w:next w:val="31"/>
    <w:autoRedefine/>
    <w:qFormat/>
    <w:uiPriority w:val="0"/>
    <w:pPr>
      <w:spacing w:line="580" w:lineRule="exact"/>
      <w:jc w:val="center"/>
      <w:outlineLvl w:val="0"/>
    </w:pPr>
    <w:rPr>
      <w:rFonts w:eastAsia="方正小标宋简体"/>
      <w:sz w:val="44"/>
    </w:rPr>
  </w:style>
  <w:style w:type="paragraph" w:customStyle="1" w:styleId="31">
    <w:name w:val="标题注释"/>
    <w:basedOn w:val="1"/>
    <w:next w:val="1"/>
    <w:autoRedefine/>
    <w:qFormat/>
    <w:uiPriority w:val="0"/>
    <w:pPr>
      <w:spacing w:line="580" w:lineRule="exact"/>
      <w:jc w:val="center"/>
      <w:outlineLvl w:val="1"/>
    </w:pPr>
    <w:rPr>
      <w:rFonts w:eastAsia="楷体_GB2312"/>
      <w:sz w:val="32"/>
    </w:rPr>
  </w:style>
  <w:style w:type="paragraph" w:customStyle="1" w:styleId="32">
    <w:name w:val="表格"/>
    <w:basedOn w:val="1"/>
    <w:next w:val="1"/>
    <w:autoRedefine/>
    <w:qFormat/>
    <w:uiPriority w:val="0"/>
    <w:pPr>
      <w:spacing w:line="440" w:lineRule="exact"/>
      <w:jc w:val="center"/>
    </w:pPr>
    <w:rPr>
      <w:sz w:val="28"/>
    </w:rPr>
  </w:style>
  <w:style w:type="paragraph" w:customStyle="1" w:styleId="33">
    <w:name w:val="Default"/>
    <w:basedOn w:val="1"/>
    <w:autoRedefine/>
    <w:qFormat/>
    <w:uiPriority w:val="0"/>
    <w:pPr>
      <w:autoSpaceDE w:val="0"/>
      <w:autoSpaceDN w:val="0"/>
    </w:pPr>
    <w:rPr>
      <w:rFonts w:ascii="Calibri" w:hAnsi="Calibri" w:cs="宋体"/>
      <w:color w:val="000000"/>
      <w:sz w:val="24"/>
    </w:rPr>
  </w:style>
  <w:style w:type="character" w:customStyle="1" w:styleId="34">
    <w:name w:val="??????2"/>
    <w:autoRedefine/>
    <w:qFormat/>
    <w:uiPriority w:val="0"/>
    <w:rPr>
      <w:sz w:val="22"/>
    </w:rPr>
  </w:style>
  <w:style w:type="character" w:customStyle="1" w:styleId="35">
    <w:name w:val="默认段落字体2"/>
    <w:autoRedefine/>
    <w:qFormat/>
    <w:uiPriority w:val="0"/>
    <w:rPr>
      <w:sz w:val="22"/>
    </w:rPr>
  </w:style>
  <w:style w:type="character" w:customStyle="1" w:styleId="36">
    <w:name w:val="font71"/>
    <w:basedOn w:val="16"/>
    <w:autoRedefine/>
    <w:qFormat/>
    <w:uiPriority w:val="0"/>
    <w:rPr>
      <w:rFonts w:hint="eastAsia" w:ascii="宋体" w:hAnsi="宋体" w:eastAsia="宋体" w:cs="宋体"/>
      <w:color w:val="000000"/>
      <w:sz w:val="22"/>
      <w:szCs w:val="22"/>
      <w:u w:val="none"/>
    </w:rPr>
  </w:style>
  <w:style w:type="character" w:customStyle="1" w:styleId="37">
    <w:name w:val="font91"/>
    <w:basedOn w:val="16"/>
    <w:autoRedefine/>
    <w:qFormat/>
    <w:uiPriority w:val="0"/>
    <w:rPr>
      <w:rFonts w:hint="eastAsia" w:ascii="宋体" w:hAnsi="宋体" w:eastAsia="宋体" w:cs="宋体"/>
      <w:color w:val="000000"/>
      <w:sz w:val="22"/>
      <w:szCs w:val="22"/>
      <w:u w:val="none"/>
    </w:rPr>
  </w:style>
  <w:style w:type="character" w:customStyle="1" w:styleId="38">
    <w:name w:val="font101"/>
    <w:basedOn w:val="16"/>
    <w:autoRedefine/>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6513</Words>
  <Characters>6952</Characters>
  <Lines>0</Lines>
  <Paragraphs>0</Paragraphs>
  <TotalTime>10</TotalTime>
  <ScaleCrop>false</ScaleCrop>
  <LinksUpToDate>false</LinksUpToDate>
  <CharactersWithSpaces>7042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2019-11-12T06:37:00Z</dcterms:created>
  <dc:creator>蓝在南方</dc:creator>
  <cp:lastModifiedBy>Liuliu</cp:lastModifiedBy>
  <cp:lastPrinted>2024-05-10T01:44:00Z</cp:lastPrinted>
  <dcterms:modified xsi:type="dcterms:W3CDTF">2025-06-16T01:19:38Z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EB09C823417D4E479CD9A784FEBD6C94</vt:lpwstr>
  </property>
  <property fmtid="{D5CDD505-2E9C-101B-9397-08002B2CF9AE}" pid="4" name="commondata">
    <vt:lpwstr>eyJoZGlkIjoiYTBjYmFlYzg3MjgwODU1OWNhYWQyNDBiOWEwZjUwZTgifQ==</vt:lpwstr>
  </property>
  <property fmtid="{D5CDD505-2E9C-101B-9397-08002B2CF9AE}" pid="5" name="KSOTemplateDocerSaveRecord">
    <vt:lpwstr>eyJoZGlkIjoiYmYyMTkwMTk1NWMzMGJlOGQ0Y2ZiMTBlMzQ2ZTZiOGUiLCJ1c2VySWQiOiI0Nzc2Mzg2NDEifQ==</vt:lpwstr>
  </property>
</Properties>
</file>